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E36" w:rsidRPr="00216D07" w:rsidRDefault="00F90E36" w:rsidP="00CF144A">
      <w:pPr>
        <w:spacing w:after="100" w:afterAutospacing="1" w:line="360" w:lineRule="exact"/>
        <w:jc w:val="both"/>
        <w:rPr>
          <w:rFonts w:ascii="Georgia" w:hAnsi="Georgia"/>
          <w:b/>
        </w:rPr>
      </w:pPr>
      <w:r w:rsidRPr="00765F1F">
        <w:rPr>
          <w:rFonts w:ascii="Georgia" w:hAnsi="Georgia"/>
          <w:b/>
          <w:bCs/>
          <w:caps/>
        </w:rPr>
        <w:t>E</w:t>
      </w:r>
      <w:r w:rsidR="0054211D" w:rsidRPr="00765F1F">
        <w:rPr>
          <w:rFonts w:ascii="Georgia" w:hAnsi="Georgia"/>
          <w:b/>
          <w:bCs/>
          <w:caps/>
        </w:rPr>
        <w:t>n lo Principal</w:t>
      </w:r>
      <w:r w:rsidRPr="00216D07">
        <w:rPr>
          <w:rFonts w:ascii="Georgia" w:hAnsi="Georgia"/>
          <w:b/>
        </w:rPr>
        <w:t>,</w:t>
      </w:r>
      <w:r w:rsidRPr="00BD77DF">
        <w:rPr>
          <w:rFonts w:ascii="Georgia" w:hAnsi="Georgia"/>
        </w:rPr>
        <w:t xml:space="preserve"> </w:t>
      </w:r>
      <w:r w:rsidR="00620683">
        <w:rPr>
          <w:rFonts w:ascii="Georgia" w:hAnsi="Georgia"/>
        </w:rPr>
        <w:t xml:space="preserve">acompaña Programa de Cumplimiento </w:t>
      </w:r>
      <w:r w:rsidR="00C5586D">
        <w:rPr>
          <w:rFonts w:ascii="Georgia" w:hAnsi="Georgia"/>
        </w:rPr>
        <w:t>corregido</w:t>
      </w:r>
      <w:r w:rsidR="00996D30">
        <w:rPr>
          <w:rFonts w:ascii="Georgia" w:hAnsi="Georgia"/>
        </w:rPr>
        <w:t xml:space="preserve"> y complementado</w:t>
      </w:r>
      <w:r w:rsidRPr="00216D07">
        <w:rPr>
          <w:rFonts w:ascii="Georgia" w:hAnsi="Georgia"/>
        </w:rPr>
        <w:t>.-</w:t>
      </w:r>
      <w:r w:rsidRPr="00BD77DF">
        <w:rPr>
          <w:rFonts w:ascii="Georgia" w:hAnsi="Georgia"/>
          <w:b/>
        </w:rPr>
        <w:t xml:space="preserve"> </w:t>
      </w:r>
      <w:r w:rsidR="002E19AB">
        <w:rPr>
          <w:rFonts w:ascii="Georgia" w:hAnsi="Georgia"/>
          <w:b/>
          <w:bCs/>
          <w:caps/>
        </w:rPr>
        <w:t>PRIMER</w:t>
      </w:r>
      <w:r w:rsidR="0054211D" w:rsidRPr="00765F1F">
        <w:rPr>
          <w:rFonts w:ascii="Georgia" w:hAnsi="Georgia"/>
          <w:b/>
          <w:bCs/>
          <w:caps/>
        </w:rPr>
        <w:t xml:space="preserve"> Otrosí</w:t>
      </w:r>
      <w:r w:rsidRPr="00BD77DF">
        <w:rPr>
          <w:rFonts w:ascii="Georgia" w:hAnsi="Georgia"/>
          <w:b/>
        </w:rPr>
        <w:t xml:space="preserve">, </w:t>
      </w:r>
      <w:r w:rsidR="00620683">
        <w:rPr>
          <w:rFonts w:ascii="Georgia" w:hAnsi="Georgia"/>
        </w:rPr>
        <w:t>evacúa traslado</w:t>
      </w:r>
      <w:r w:rsidRPr="00BD77DF">
        <w:rPr>
          <w:rFonts w:ascii="Georgia" w:hAnsi="Georgia"/>
        </w:rPr>
        <w:t>.</w:t>
      </w:r>
      <w:r w:rsidR="00216D07">
        <w:rPr>
          <w:rFonts w:ascii="Georgia" w:hAnsi="Georgia"/>
        </w:rPr>
        <w:t xml:space="preserve">- </w:t>
      </w:r>
      <w:r w:rsidR="002E19AB">
        <w:rPr>
          <w:rFonts w:ascii="Georgia" w:hAnsi="Georgia"/>
          <w:b/>
        </w:rPr>
        <w:t>SEGUNDO</w:t>
      </w:r>
      <w:r w:rsidR="00216D07">
        <w:rPr>
          <w:rFonts w:ascii="Georgia" w:hAnsi="Georgia"/>
          <w:b/>
        </w:rPr>
        <w:t xml:space="preserve"> OTROSÍ, </w:t>
      </w:r>
      <w:r w:rsidR="00216D07">
        <w:rPr>
          <w:rFonts w:ascii="Georgia" w:hAnsi="Georgia"/>
        </w:rPr>
        <w:t>acompaña documentos.</w:t>
      </w:r>
      <w:r w:rsidR="00216D07">
        <w:rPr>
          <w:rFonts w:ascii="Georgia" w:hAnsi="Georgia"/>
          <w:b/>
        </w:rPr>
        <w:t xml:space="preserve"> </w:t>
      </w:r>
    </w:p>
    <w:p w:rsidR="00F90E36" w:rsidRPr="0054211D" w:rsidRDefault="00F90E36" w:rsidP="002B5973">
      <w:pPr>
        <w:spacing w:after="100" w:afterAutospacing="1" w:line="360" w:lineRule="exact"/>
        <w:jc w:val="center"/>
        <w:rPr>
          <w:rFonts w:ascii="Georgia" w:hAnsi="Georgia"/>
          <w:b/>
        </w:rPr>
      </w:pPr>
    </w:p>
    <w:p w:rsidR="00F90E36" w:rsidRPr="00B57145" w:rsidRDefault="0054211D" w:rsidP="002B5973">
      <w:pPr>
        <w:spacing w:after="100" w:afterAutospacing="1" w:line="360" w:lineRule="exact"/>
        <w:jc w:val="center"/>
        <w:rPr>
          <w:rFonts w:ascii="Georgia" w:hAnsi="Georgia"/>
          <w:b/>
          <w:bCs/>
          <w:caps/>
        </w:rPr>
      </w:pPr>
      <w:r w:rsidRPr="00B57145">
        <w:rPr>
          <w:rFonts w:ascii="Georgia" w:hAnsi="Georgia"/>
          <w:b/>
          <w:bCs/>
          <w:caps/>
        </w:rPr>
        <w:t>Superintendencia del Medio Ambiente</w:t>
      </w:r>
    </w:p>
    <w:p w:rsidR="0054211D" w:rsidRPr="00B57145" w:rsidRDefault="0054211D" w:rsidP="002B5973">
      <w:pPr>
        <w:spacing w:after="100" w:afterAutospacing="1" w:line="360" w:lineRule="exact"/>
        <w:jc w:val="center"/>
        <w:rPr>
          <w:rFonts w:ascii="Georgia" w:hAnsi="Georgia"/>
          <w:b/>
          <w:bCs/>
          <w:caps/>
        </w:rPr>
      </w:pPr>
      <w:r w:rsidRPr="00B57145">
        <w:rPr>
          <w:rFonts w:ascii="Georgia" w:hAnsi="Georgia"/>
          <w:b/>
          <w:bCs/>
          <w:caps/>
        </w:rPr>
        <w:t>Sra. Jefa de la División de Sanción y Cumplimiento</w:t>
      </w:r>
    </w:p>
    <w:p w:rsidR="00F90E36" w:rsidRPr="0054211D" w:rsidRDefault="00F90E36" w:rsidP="002B5973">
      <w:pPr>
        <w:spacing w:after="100" w:afterAutospacing="1" w:line="360" w:lineRule="exact"/>
        <w:ind w:firstLine="709"/>
        <w:jc w:val="both"/>
        <w:rPr>
          <w:rFonts w:ascii="Georgia" w:hAnsi="Georgia"/>
          <w:b/>
        </w:rPr>
      </w:pPr>
    </w:p>
    <w:p w:rsidR="0054211D" w:rsidRPr="003C64FA" w:rsidRDefault="0054211D" w:rsidP="002B5973">
      <w:pPr>
        <w:pStyle w:val="Sangradetextonormal"/>
        <w:tabs>
          <w:tab w:val="left" w:pos="0"/>
        </w:tabs>
        <w:spacing w:after="100" w:afterAutospacing="1" w:line="360" w:lineRule="auto"/>
        <w:ind w:left="0" w:firstLine="709"/>
        <w:jc w:val="both"/>
        <w:rPr>
          <w:rFonts w:ascii="Georgia" w:hAnsi="Georgia" w:cs="Arial"/>
        </w:rPr>
      </w:pPr>
      <w:r>
        <w:rPr>
          <w:rFonts w:ascii="Georgia" w:hAnsi="Georgia"/>
          <w:b/>
          <w:lang w:val="es-CL"/>
        </w:rPr>
        <w:t xml:space="preserve">Jorge </w:t>
      </w:r>
      <w:r w:rsidRPr="0054211D">
        <w:rPr>
          <w:rFonts w:ascii="Georgia" w:hAnsi="Georgia"/>
          <w:b/>
        </w:rPr>
        <w:t>Lagos</w:t>
      </w:r>
      <w:r>
        <w:rPr>
          <w:rFonts w:ascii="Georgia" w:hAnsi="Georgia"/>
          <w:b/>
        </w:rPr>
        <w:t xml:space="preserve"> Rodríguez,</w:t>
      </w:r>
      <w:r w:rsidR="00F90E36" w:rsidRPr="0054211D">
        <w:rPr>
          <w:rFonts w:ascii="Georgia" w:hAnsi="Georgia"/>
        </w:rPr>
        <w:t xml:space="preserve"> actuando en representación</w:t>
      </w:r>
      <w:r w:rsidRPr="003C64FA">
        <w:rPr>
          <w:rFonts w:ascii="Georgia" w:hAnsi="Georgia" w:cs="Arial"/>
        </w:rPr>
        <w:t xml:space="preserve"> de la </w:t>
      </w:r>
      <w:r w:rsidRPr="003C64FA">
        <w:rPr>
          <w:rFonts w:ascii="Georgia" w:hAnsi="Georgia" w:cs="Arial"/>
          <w:b/>
        </w:rPr>
        <w:t>Corporación Nacional del Cobre de Chile</w:t>
      </w:r>
      <w:r w:rsidRPr="003C64FA">
        <w:rPr>
          <w:rFonts w:ascii="Georgia" w:hAnsi="Georgia" w:cs="Arial"/>
        </w:rPr>
        <w:t xml:space="preserve"> (en adelante, “</w:t>
      </w:r>
      <w:r w:rsidRPr="003C64FA">
        <w:rPr>
          <w:rFonts w:ascii="Georgia" w:hAnsi="Georgia" w:cs="Arial"/>
          <w:u w:val="single"/>
        </w:rPr>
        <w:t>Codelco</w:t>
      </w:r>
      <w:r w:rsidRPr="003C64FA">
        <w:rPr>
          <w:rFonts w:ascii="Georgia" w:hAnsi="Georgia" w:cs="Arial"/>
        </w:rPr>
        <w:t>”), División Ventanas, en el procedimiento administrativo sancionatorio Rol de expediente D-18-2016, que se instruye en virtud de los cargos formulados mediante Resolución Exenta N° 1, de fecha 6 de mayo de 2016, respetuosamente digo:</w:t>
      </w:r>
    </w:p>
    <w:p w:rsidR="002E19AB" w:rsidRDefault="00F90E36" w:rsidP="002E19AB">
      <w:pPr>
        <w:spacing w:after="100" w:afterAutospacing="1" w:line="360" w:lineRule="exact"/>
        <w:ind w:firstLine="709"/>
        <w:jc w:val="both"/>
        <w:rPr>
          <w:rFonts w:ascii="Georgia" w:eastAsia="Cambria" w:hAnsi="Georgia" w:cs="Times"/>
          <w:lang w:val="es-ES_tradnl" w:eastAsia="es-ES_tradnl"/>
        </w:rPr>
      </w:pPr>
      <w:r w:rsidRPr="0054211D">
        <w:rPr>
          <w:rFonts w:ascii="Georgia" w:hAnsi="Georgia"/>
        </w:rPr>
        <w:t xml:space="preserve">Que encontrándome dentro de plazo, </w:t>
      </w:r>
      <w:r w:rsidR="002E19AB">
        <w:rPr>
          <w:rFonts w:ascii="Georgia" w:hAnsi="Georgia"/>
        </w:rPr>
        <w:t>sobre la base de</w:t>
      </w:r>
      <w:r w:rsidR="003413E8">
        <w:rPr>
          <w:rFonts w:ascii="Georgia" w:hAnsi="Georgia"/>
        </w:rPr>
        <w:t xml:space="preserve"> lo dispuesto </w:t>
      </w:r>
      <w:r w:rsidR="002E19AB">
        <w:rPr>
          <w:rFonts w:ascii="Georgia" w:hAnsi="Georgia"/>
        </w:rPr>
        <w:t xml:space="preserve">en </w:t>
      </w:r>
      <w:r w:rsidRPr="0054211D">
        <w:rPr>
          <w:rFonts w:ascii="Georgia" w:hAnsi="Georgia"/>
        </w:rPr>
        <w:t>l</w:t>
      </w:r>
      <w:r w:rsidR="00175430">
        <w:rPr>
          <w:rFonts w:ascii="Georgia" w:hAnsi="Georgia"/>
        </w:rPr>
        <w:t xml:space="preserve">a Resolución Exenta N° 5/D-18-2016, </w:t>
      </w:r>
      <w:r w:rsidR="00CF7E24">
        <w:rPr>
          <w:rFonts w:ascii="Georgia" w:hAnsi="Georgia"/>
        </w:rPr>
        <w:t>de 22 de junio de 2016</w:t>
      </w:r>
      <w:r w:rsidR="001C72E5">
        <w:rPr>
          <w:rFonts w:ascii="Georgia" w:hAnsi="Georgia"/>
        </w:rPr>
        <w:t xml:space="preserve"> (en adelante, “</w:t>
      </w:r>
      <w:r w:rsidR="001C72E5" w:rsidRPr="001C72E5">
        <w:rPr>
          <w:rFonts w:ascii="Georgia" w:hAnsi="Georgia"/>
          <w:u w:val="single"/>
        </w:rPr>
        <w:t>la Resolución</w:t>
      </w:r>
      <w:r w:rsidR="001C72E5">
        <w:rPr>
          <w:rFonts w:ascii="Georgia" w:hAnsi="Georgia"/>
        </w:rPr>
        <w:t>”)</w:t>
      </w:r>
      <w:r w:rsidR="00722AA1">
        <w:rPr>
          <w:rFonts w:ascii="Georgia" w:hAnsi="Georgia"/>
        </w:rPr>
        <w:t xml:space="preserve">, </w:t>
      </w:r>
      <w:r w:rsidR="00604799" w:rsidRPr="0054211D">
        <w:rPr>
          <w:rFonts w:ascii="Georgia" w:hAnsi="Georgia"/>
        </w:rPr>
        <w:t xml:space="preserve">vengo en </w:t>
      </w:r>
      <w:r w:rsidR="002E19AB">
        <w:rPr>
          <w:rFonts w:ascii="Georgia" w:hAnsi="Georgia"/>
        </w:rPr>
        <w:t>acompañar el Programa de Cumplimiento debidamente corregido y complementado</w:t>
      </w:r>
      <w:r w:rsidR="002A6588">
        <w:rPr>
          <w:rFonts w:ascii="Georgia" w:hAnsi="Georgia"/>
        </w:rPr>
        <w:t xml:space="preserve"> (y sus anexos)</w:t>
      </w:r>
      <w:r w:rsidR="002E19AB">
        <w:rPr>
          <w:rFonts w:ascii="Georgia" w:hAnsi="Georgia"/>
        </w:rPr>
        <w:t xml:space="preserve">, y que en nuestro concepto satisface </w:t>
      </w:r>
      <w:r w:rsidR="00830CE4">
        <w:rPr>
          <w:rFonts w:ascii="Georgia" w:hAnsi="Georgia"/>
        </w:rPr>
        <w:t xml:space="preserve">plenamente </w:t>
      </w:r>
      <w:r w:rsidR="002E19AB">
        <w:rPr>
          <w:rFonts w:ascii="Georgia" w:hAnsi="Georgia"/>
        </w:rPr>
        <w:t xml:space="preserve">las exigencias </w:t>
      </w:r>
      <w:r w:rsidR="002E19AB" w:rsidRPr="002E19AB">
        <w:rPr>
          <w:rFonts w:ascii="Georgia" w:hAnsi="Georgia"/>
        </w:rPr>
        <w:t>establecidas en</w:t>
      </w:r>
      <w:r w:rsidR="00B640B5" w:rsidRPr="002E19AB">
        <w:rPr>
          <w:rFonts w:ascii="Georgia" w:eastAsia="Cambria" w:hAnsi="Georgia" w:cs="Times"/>
          <w:lang w:val="es-ES_tradnl" w:eastAsia="es-ES_tradnl"/>
        </w:rPr>
        <w:t xml:space="preserve"> el artículo 42 de la LOSMA y </w:t>
      </w:r>
      <w:r w:rsidR="00830CE4">
        <w:rPr>
          <w:rFonts w:ascii="Georgia" w:eastAsia="Cambria" w:hAnsi="Georgia" w:cs="Times"/>
          <w:lang w:val="es-ES_tradnl" w:eastAsia="es-ES_tradnl"/>
        </w:rPr>
        <w:t>en</w:t>
      </w:r>
      <w:r w:rsidR="00B640B5" w:rsidRPr="002E19AB">
        <w:rPr>
          <w:rFonts w:ascii="Georgia" w:eastAsia="Cambria" w:hAnsi="Georgia" w:cs="Times"/>
          <w:lang w:val="es-ES_tradnl" w:eastAsia="es-ES_tradnl"/>
        </w:rPr>
        <w:t xml:space="preserve"> el </w:t>
      </w:r>
      <w:r w:rsidR="00B640B5" w:rsidRPr="002E19AB">
        <w:rPr>
          <w:rFonts w:ascii="Georgia" w:hAnsi="Georgia" w:cs="Arial"/>
        </w:rPr>
        <w:t>decreto N° 30, de 2012, del Ministerio de Medio Ambiente, que aprueba el “Reglamento sobre Programas de Cumplimiento, Autodenuncia y Planes de Reparación”</w:t>
      </w:r>
      <w:r w:rsidR="002E19AB" w:rsidRPr="002E19AB">
        <w:rPr>
          <w:rFonts w:ascii="Georgia" w:hAnsi="Georgia" w:cs="Arial"/>
        </w:rPr>
        <w:t>, vale decir</w:t>
      </w:r>
      <w:r w:rsidR="00830CE4">
        <w:rPr>
          <w:rFonts w:ascii="Georgia" w:hAnsi="Georgia" w:cs="Arial"/>
        </w:rPr>
        <w:t xml:space="preserve"> y fundamentalmente</w:t>
      </w:r>
      <w:r w:rsidR="002E19AB" w:rsidRPr="002E19AB">
        <w:rPr>
          <w:rFonts w:ascii="Georgia" w:hAnsi="Georgia" w:cs="Arial"/>
        </w:rPr>
        <w:t>, las que se refieren a</w:t>
      </w:r>
      <w:r w:rsidR="002E19AB" w:rsidRPr="002E19AB">
        <w:rPr>
          <w:rFonts w:ascii="Georgia" w:eastAsia="Cambria" w:hAnsi="Georgia" w:cs="Times"/>
          <w:lang w:val="es-ES_tradnl" w:eastAsia="es-ES_tradnl"/>
        </w:rPr>
        <w:t xml:space="preserve"> la integridad, la eficacia y verificabilidad.</w:t>
      </w:r>
    </w:p>
    <w:p w:rsidR="00B640B5" w:rsidRDefault="002E19AB" w:rsidP="002E19AB">
      <w:pPr>
        <w:spacing w:after="100" w:afterAutospacing="1" w:line="360" w:lineRule="exact"/>
        <w:ind w:firstLine="709"/>
        <w:jc w:val="both"/>
        <w:rPr>
          <w:rFonts w:ascii="Georgia" w:eastAsia="Cambria" w:hAnsi="Georgia" w:cs="Times"/>
          <w:lang w:val="es-ES_tradnl" w:eastAsia="es-ES_tradnl"/>
        </w:rPr>
      </w:pPr>
      <w:r>
        <w:rPr>
          <w:rFonts w:ascii="Georgia" w:eastAsia="Cambria" w:hAnsi="Georgia" w:cs="Times"/>
          <w:lang w:val="es-ES_tradnl" w:eastAsia="es-ES_tradnl"/>
        </w:rPr>
        <w:t>En concreto, se hace cargo debida</w:t>
      </w:r>
      <w:r w:rsidR="00830CE4">
        <w:rPr>
          <w:rFonts w:ascii="Georgia" w:eastAsia="Cambria" w:hAnsi="Georgia" w:cs="Times"/>
          <w:lang w:val="es-ES_tradnl" w:eastAsia="es-ES_tradnl"/>
        </w:rPr>
        <w:t xml:space="preserve"> y correcta</w:t>
      </w:r>
      <w:r>
        <w:rPr>
          <w:rFonts w:ascii="Georgia" w:eastAsia="Cambria" w:hAnsi="Georgia" w:cs="Times"/>
          <w:lang w:val="es-ES_tradnl" w:eastAsia="es-ES_tradnl"/>
        </w:rPr>
        <w:t>mente de las observaciones plasmadas en el referido acto administrativo, vinculadas a siete materias,</w:t>
      </w:r>
      <w:r w:rsidR="00B640B5">
        <w:rPr>
          <w:rFonts w:ascii="Georgia" w:eastAsia="Cambria" w:hAnsi="Georgia" w:cs="Times"/>
          <w:lang w:val="es-ES_tradnl" w:eastAsia="es-ES_tradnl"/>
        </w:rPr>
        <w:t xml:space="preserve"> a saber: </w:t>
      </w:r>
    </w:p>
    <w:p w:rsidR="00B640B5" w:rsidRDefault="00B640B5" w:rsidP="00B640B5">
      <w:pPr>
        <w:numPr>
          <w:ilvl w:val="0"/>
          <w:numId w:val="26"/>
        </w:numPr>
        <w:spacing w:after="100" w:afterAutospacing="1" w:line="360" w:lineRule="exact"/>
        <w:jc w:val="both"/>
        <w:rPr>
          <w:rFonts w:ascii="Georgia" w:eastAsia="Cambria" w:hAnsi="Georgia" w:cs="Times"/>
          <w:lang w:val="es-ES_tradnl" w:eastAsia="es-ES_tradnl"/>
        </w:rPr>
      </w:pPr>
      <w:r>
        <w:rPr>
          <w:rFonts w:ascii="Georgia" w:eastAsia="Cambria" w:hAnsi="Georgia" w:cs="Times"/>
          <w:lang w:val="es-ES_tradnl" w:eastAsia="es-ES_tradnl"/>
        </w:rPr>
        <w:t>Observaciones generales al PDC.</w:t>
      </w:r>
    </w:p>
    <w:p w:rsidR="00B640B5" w:rsidRDefault="00B640B5" w:rsidP="00B640B5">
      <w:pPr>
        <w:numPr>
          <w:ilvl w:val="0"/>
          <w:numId w:val="26"/>
        </w:numPr>
        <w:spacing w:after="100" w:afterAutospacing="1" w:line="360" w:lineRule="exact"/>
        <w:jc w:val="both"/>
        <w:rPr>
          <w:rFonts w:ascii="Georgia" w:eastAsia="Cambria" w:hAnsi="Georgia" w:cs="Times"/>
          <w:lang w:val="es-ES_tradnl" w:eastAsia="es-ES_tradnl"/>
        </w:rPr>
      </w:pPr>
      <w:r>
        <w:rPr>
          <w:rFonts w:ascii="Georgia" w:eastAsia="Cambria" w:hAnsi="Georgia" w:cs="Times"/>
          <w:lang w:val="es-ES_tradnl" w:eastAsia="es-ES_tradnl"/>
        </w:rPr>
        <w:t>Plan de acciones y metas para cumplir con la normativa y reducir o eliminar los efectos negativos generados.</w:t>
      </w:r>
    </w:p>
    <w:p w:rsidR="00B640B5" w:rsidRDefault="00B640B5" w:rsidP="00B640B5">
      <w:pPr>
        <w:numPr>
          <w:ilvl w:val="0"/>
          <w:numId w:val="26"/>
        </w:numPr>
        <w:spacing w:after="100" w:afterAutospacing="1" w:line="360" w:lineRule="exact"/>
        <w:jc w:val="both"/>
        <w:rPr>
          <w:rFonts w:ascii="Georgia" w:eastAsia="Cambria" w:hAnsi="Georgia" w:cs="Times"/>
          <w:lang w:val="es-ES_tradnl" w:eastAsia="es-ES_tradnl"/>
        </w:rPr>
      </w:pPr>
      <w:r>
        <w:rPr>
          <w:rFonts w:ascii="Georgia" w:eastAsia="Cambria" w:hAnsi="Georgia" w:cs="Times"/>
          <w:lang w:val="es-ES_tradnl" w:eastAsia="es-ES_tradnl"/>
        </w:rPr>
        <w:t>Plan de seguimiento del Plan de acciones y metas. Observaciones Generales.</w:t>
      </w:r>
    </w:p>
    <w:p w:rsidR="00B640B5" w:rsidRDefault="00B640B5" w:rsidP="00B640B5">
      <w:pPr>
        <w:numPr>
          <w:ilvl w:val="0"/>
          <w:numId w:val="26"/>
        </w:numPr>
        <w:spacing w:after="100" w:afterAutospacing="1" w:line="360" w:lineRule="exact"/>
        <w:jc w:val="both"/>
        <w:rPr>
          <w:rFonts w:ascii="Georgia" w:eastAsia="Cambria" w:hAnsi="Georgia" w:cs="Times"/>
          <w:lang w:val="es-ES_tradnl" w:eastAsia="es-ES_tradnl"/>
        </w:rPr>
      </w:pPr>
      <w:r>
        <w:rPr>
          <w:rFonts w:ascii="Georgia" w:eastAsia="Cambria" w:hAnsi="Georgia" w:cs="Times"/>
          <w:lang w:val="es-ES_tradnl" w:eastAsia="es-ES_tradnl"/>
        </w:rPr>
        <w:t>Plan de seguimiento del Plan de acciones y metas. Reporte inicial.</w:t>
      </w:r>
    </w:p>
    <w:p w:rsidR="00B640B5" w:rsidRDefault="00B640B5" w:rsidP="00B640B5">
      <w:pPr>
        <w:numPr>
          <w:ilvl w:val="0"/>
          <w:numId w:val="26"/>
        </w:numPr>
        <w:spacing w:after="100" w:afterAutospacing="1" w:line="360" w:lineRule="exact"/>
        <w:jc w:val="both"/>
        <w:rPr>
          <w:rFonts w:ascii="Georgia" w:eastAsia="Cambria" w:hAnsi="Georgia" w:cs="Times"/>
          <w:lang w:val="es-ES_tradnl" w:eastAsia="es-ES_tradnl"/>
        </w:rPr>
      </w:pPr>
      <w:r>
        <w:rPr>
          <w:rFonts w:ascii="Georgia" w:eastAsia="Cambria" w:hAnsi="Georgia" w:cs="Times"/>
          <w:lang w:val="es-ES_tradnl" w:eastAsia="es-ES_tradnl"/>
        </w:rPr>
        <w:t>Plan de seguimiento del Plan de acciones y metas. Reportes de avance.</w:t>
      </w:r>
    </w:p>
    <w:p w:rsidR="00B640B5" w:rsidRDefault="00B640B5" w:rsidP="00B640B5">
      <w:pPr>
        <w:numPr>
          <w:ilvl w:val="0"/>
          <w:numId w:val="26"/>
        </w:numPr>
        <w:spacing w:after="100" w:afterAutospacing="1" w:line="360" w:lineRule="exact"/>
        <w:jc w:val="both"/>
        <w:rPr>
          <w:rFonts w:ascii="Georgia" w:eastAsia="Cambria" w:hAnsi="Georgia" w:cs="Times"/>
          <w:lang w:val="es-ES_tradnl" w:eastAsia="es-ES_tradnl"/>
        </w:rPr>
      </w:pPr>
      <w:r>
        <w:rPr>
          <w:rFonts w:ascii="Georgia" w:eastAsia="Cambria" w:hAnsi="Georgia" w:cs="Times"/>
          <w:lang w:val="es-ES_tradnl" w:eastAsia="es-ES_tradnl"/>
        </w:rPr>
        <w:lastRenderedPageBreak/>
        <w:t>Plan de seguimiento del Plan de acciones y metas. Reporte final.</w:t>
      </w:r>
    </w:p>
    <w:p w:rsidR="002A6588" w:rsidRPr="002A6588" w:rsidRDefault="00B640B5" w:rsidP="002A6588">
      <w:pPr>
        <w:numPr>
          <w:ilvl w:val="0"/>
          <w:numId w:val="26"/>
        </w:numPr>
        <w:spacing w:after="100" w:afterAutospacing="1" w:line="360" w:lineRule="exact"/>
        <w:jc w:val="both"/>
        <w:rPr>
          <w:rFonts w:ascii="Georgia" w:eastAsia="Cambria" w:hAnsi="Georgia" w:cs="Times"/>
          <w:lang w:val="es-ES_tradnl" w:eastAsia="es-ES_tradnl"/>
        </w:rPr>
      </w:pPr>
      <w:r>
        <w:rPr>
          <w:rFonts w:ascii="Georgia" w:eastAsia="Cambria" w:hAnsi="Georgia" w:cs="Times"/>
          <w:lang w:val="es-ES_tradnl" w:eastAsia="es-ES_tradnl"/>
        </w:rPr>
        <w:t xml:space="preserve">Cronograma. </w:t>
      </w:r>
    </w:p>
    <w:p w:rsidR="002A6588" w:rsidRDefault="002A6588" w:rsidP="002A6588">
      <w:pPr>
        <w:pStyle w:val="Sangradetextonormal"/>
        <w:tabs>
          <w:tab w:val="left" w:pos="0"/>
        </w:tabs>
        <w:spacing w:after="100" w:afterAutospacing="1" w:line="360" w:lineRule="auto"/>
        <w:ind w:left="0"/>
        <w:jc w:val="both"/>
        <w:rPr>
          <w:rFonts w:ascii="Georgia" w:hAnsi="Georgia" w:cs="Arial"/>
          <w:b/>
        </w:rPr>
      </w:pPr>
      <w:r>
        <w:rPr>
          <w:rFonts w:ascii="Georgia" w:hAnsi="Georgia" w:cs="Arial"/>
          <w:b/>
        </w:rPr>
        <w:tab/>
        <w:t xml:space="preserve">POR TANTO, </w:t>
      </w:r>
    </w:p>
    <w:p w:rsidR="002A6588" w:rsidRPr="002A6588" w:rsidRDefault="002A6588" w:rsidP="002A6588">
      <w:pPr>
        <w:pStyle w:val="Sangradetextonormal"/>
        <w:tabs>
          <w:tab w:val="left" w:pos="0"/>
        </w:tabs>
        <w:spacing w:after="100" w:afterAutospacing="1" w:line="360" w:lineRule="auto"/>
        <w:ind w:left="0"/>
        <w:jc w:val="both"/>
        <w:rPr>
          <w:rFonts w:ascii="Georgia" w:hAnsi="Georgia" w:cs="Arial"/>
        </w:rPr>
      </w:pPr>
      <w:r>
        <w:rPr>
          <w:rFonts w:ascii="Georgia" w:hAnsi="Georgia" w:cs="Arial"/>
        </w:rPr>
        <w:t xml:space="preserve">Solicito a Ud. tener por presentado en tiempo y forma el Programa de Cumplimiento debidamente corregido y rectificado, y con su mérito, proceder a su aprobación. </w:t>
      </w:r>
    </w:p>
    <w:p w:rsidR="004D740D" w:rsidRDefault="00345B04" w:rsidP="004D740D">
      <w:pPr>
        <w:spacing w:after="100" w:afterAutospacing="1" w:line="360" w:lineRule="auto"/>
        <w:ind w:firstLine="709"/>
        <w:jc w:val="both"/>
        <w:rPr>
          <w:rFonts w:ascii="Georgia" w:hAnsi="Georgia" w:cs="Arial"/>
        </w:rPr>
      </w:pPr>
      <w:r w:rsidRPr="0054211D">
        <w:rPr>
          <w:rFonts w:ascii="Georgia" w:eastAsia="Cambria" w:hAnsi="Georgia" w:cs="Times"/>
          <w:b/>
          <w:lang w:val="es-ES_tradnl" w:eastAsia="es-ES_tradnl"/>
        </w:rPr>
        <w:t xml:space="preserve">PRIMER OTROSÍ: </w:t>
      </w:r>
      <w:r w:rsidR="00830CE4">
        <w:rPr>
          <w:rFonts w:ascii="Georgia" w:eastAsia="Cambria" w:hAnsi="Georgia" w:cs="Times"/>
          <w:lang w:val="es-ES_tradnl" w:eastAsia="es-ES_tradnl"/>
        </w:rPr>
        <w:t>E</w:t>
      </w:r>
      <w:r w:rsidR="004D740D">
        <w:rPr>
          <w:rFonts w:ascii="Georgia" w:hAnsi="Georgia" w:cs="Arial"/>
        </w:rPr>
        <w:t xml:space="preserve">ncontrándome dentro de plazo, vengo en evacuar el traslado otorgado por el Resuelvo N° IV de la Resolución Exenta N° 5/Rol D-18-2016, de 6 de mayo de 2016, de la Jefa de la División de Sanción y Cumplimiento de la Superintendencia del Medio Ambiente, en lo que dice relación con las observaciones formuladas por el Sr. Andrés León Cabrera.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bCs/>
          <w:caps/>
        </w:rPr>
      </w:pPr>
      <w:r>
        <w:rPr>
          <w:rFonts w:ascii="Georgia" w:hAnsi="Georgia" w:cs="Arial"/>
          <w:b/>
          <w:bCs/>
          <w:caps/>
        </w:rPr>
        <w:t>I. Planteamientos preliminares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A) Programa de Cumplimiento original y corregido</w:t>
      </w:r>
    </w:p>
    <w:p w:rsidR="004D740D" w:rsidRDefault="000D2B94"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Es pertinente </w:t>
      </w:r>
      <w:r w:rsidR="00CF010D">
        <w:rPr>
          <w:rFonts w:ascii="Georgia" w:hAnsi="Georgia" w:cs="Arial"/>
        </w:rPr>
        <w:t>reiterar</w:t>
      </w:r>
      <w:r>
        <w:rPr>
          <w:rFonts w:ascii="Georgia" w:hAnsi="Georgia" w:cs="Arial"/>
        </w:rPr>
        <w:t xml:space="preserve"> que en </w:t>
      </w:r>
      <w:r w:rsidR="00BB6C0A">
        <w:rPr>
          <w:rFonts w:ascii="Georgia" w:hAnsi="Georgia" w:cs="Arial"/>
        </w:rPr>
        <w:t>lo principal</w:t>
      </w:r>
      <w:r>
        <w:rPr>
          <w:rFonts w:ascii="Georgia" w:hAnsi="Georgia" w:cs="Arial"/>
        </w:rPr>
        <w:t xml:space="preserve"> de esta presentación</w:t>
      </w:r>
      <w:r w:rsidR="004D740D">
        <w:rPr>
          <w:rFonts w:ascii="Georgia" w:hAnsi="Georgia" w:cs="Arial"/>
        </w:rPr>
        <w:t xml:space="preserve"> Codelco </w:t>
      </w:r>
      <w:r>
        <w:rPr>
          <w:rFonts w:ascii="Georgia" w:hAnsi="Georgia" w:cs="Arial"/>
        </w:rPr>
        <w:t>acompaña</w:t>
      </w:r>
      <w:r w:rsidR="004D740D">
        <w:rPr>
          <w:rFonts w:ascii="Georgia" w:hAnsi="Georgia" w:cs="Arial"/>
        </w:rPr>
        <w:t xml:space="preserve"> ante la Superintendencia del Medio Ambiente un Programa de Cumplimiento corregido</w:t>
      </w:r>
      <w:r w:rsidR="00BC79B1">
        <w:rPr>
          <w:rFonts w:ascii="Georgia" w:hAnsi="Georgia" w:cs="Arial"/>
        </w:rPr>
        <w:t xml:space="preserve"> y complementado</w:t>
      </w:r>
      <w:r w:rsidR="004D740D">
        <w:rPr>
          <w:rFonts w:ascii="Georgia" w:hAnsi="Georgia" w:cs="Arial"/>
        </w:rPr>
        <w:t>, en el cual se ha procedido a incorporar las observaciones formuladas por la SMA mediante la Resolución Exenta N° 5, de 2016, de la Jefa de la División de Sanción y Cumplimiento.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De esta forma, conviene manifestar que las consideraciones</w:t>
      </w:r>
      <w:r w:rsidR="000D2B94">
        <w:rPr>
          <w:rFonts w:ascii="Georgia" w:hAnsi="Georgia" w:cs="Arial"/>
        </w:rPr>
        <w:t xml:space="preserve"> que aquí se desarrollan </w:t>
      </w:r>
      <w:r>
        <w:rPr>
          <w:rFonts w:ascii="Georgia" w:hAnsi="Georgia" w:cs="Arial"/>
        </w:rPr>
        <w:t>se encuentran vinculadas a las observaciones que fueron formulad</w:t>
      </w:r>
      <w:r w:rsidR="00506E62">
        <w:rPr>
          <w:rFonts w:ascii="Georgia" w:hAnsi="Georgia" w:cs="Arial"/>
        </w:rPr>
        <w:t>as por el Sr. León respecto del</w:t>
      </w:r>
      <w:r>
        <w:rPr>
          <w:rFonts w:ascii="Georgia" w:hAnsi="Georgia" w:cs="Arial"/>
        </w:rPr>
        <w:t xml:space="preserve"> Programa de Cumplimiento originalmente presentado por esta parte el pasado </w:t>
      </w:r>
      <w:r w:rsidR="000D2B94">
        <w:rPr>
          <w:rFonts w:ascii="Georgia" w:hAnsi="Georgia" w:cs="Arial"/>
        </w:rPr>
        <w:t>2</w:t>
      </w:r>
      <w:r>
        <w:rPr>
          <w:rFonts w:ascii="Georgia" w:hAnsi="Georgia" w:cs="Arial"/>
        </w:rPr>
        <w:t xml:space="preserve">7 de </w:t>
      </w:r>
      <w:r w:rsidR="000D2B94">
        <w:rPr>
          <w:rFonts w:ascii="Georgia" w:hAnsi="Georgia" w:cs="Arial"/>
        </w:rPr>
        <w:t xml:space="preserve">mayo </w:t>
      </w:r>
      <w:r>
        <w:rPr>
          <w:rFonts w:ascii="Georgia" w:hAnsi="Georgia" w:cs="Arial"/>
        </w:rPr>
        <w:t>de este año (en adelante, indistintamente, “</w:t>
      </w:r>
      <w:r>
        <w:rPr>
          <w:rFonts w:ascii="Georgia" w:hAnsi="Georgia" w:cs="Arial"/>
          <w:u w:val="single"/>
        </w:rPr>
        <w:t>PDC</w:t>
      </w:r>
      <w:r>
        <w:rPr>
          <w:rFonts w:ascii="Georgia" w:hAnsi="Georgia" w:cs="Arial"/>
        </w:rPr>
        <w:t>” o “</w:t>
      </w:r>
      <w:r>
        <w:rPr>
          <w:rFonts w:ascii="Georgia" w:hAnsi="Georgia" w:cs="Arial"/>
          <w:u w:val="single"/>
        </w:rPr>
        <w:t>el Programa</w:t>
      </w:r>
      <w:r>
        <w:rPr>
          <w:rFonts w:ascii="Georgia" w:hAnsi="Georgia" w:cs="Arial"/>
        </w:rPr>
        <w:t xml:space="preserv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Y en consecuencia, esta presentación debe entenderse complementada, en lo pertinente, con las enmiendas y correcciones efectuadas sobre el PDC ingresadas con esta fecha.</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lastRenderedPageBreak/>
        <w:t xml:space="preserve">B) Las observaciones formuladas por el Sr. León abarcan sólo una parte del Programa de Cumplimiento </w:t>
      </w:r>
      <w:r w:rsidR="00787B2F">
        <w:rPr>
          <w:rFonts w:ascii="Georgia" w:hAnsi="Georgia" w:cs="Arial"/>
          <w:b/>
        </w:rPr>
        <w:t xml:space="preserve">originalmente </w:t>
      </w:r>
      <w:r>
        <w:rPr>
          <w:rFonts w:ascii="Georgia" w:hAnsi="Georgia" w:cs="Arial"/>
          <w:b/>
        </w:rPr>
        <w:t>presentado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Tal como se advierte en la presentación realizada por el denunciante Sr. León, éste formuló observaciones únicamente respecto de algunas secciones del PDC, sin plantear objeción o cuestionamiento alguno sobre las restantes.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Así, su parecer sobre el PDC recayó exclusiva y excluyentemente sobre los cargos N°</w:t>
      </w:r>
      <w:r>
        <w:rPr>
          <w:rFonts w:ascii="Georgia" w:hAnsi="Georgia" w:cs="Arial"/>
          <w:vertAlign w:val="superscript"/>
        </w:rPr>
        <w:t>s</w:t>
      </w:r>
      <w:r>
        <w:rPr>
          <w:rFonts w:ascii="Georgia" w:hAnsi="Georgia" w:cs="Arial"/>
        </w:rPr>
        <w:t xml:space="preserve"> 2, 3, 5, 7, 10, 11, 12 y 13 (siguiendo la estructura de la Resolución Exenta N° 1/Rol D-18-2016).</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Por consiguiente,</w:t>
      </w:r>
      <w:r>
        <w:rPr>
          <w:rFonts w:ascii="Georgia" w:hAnsi="Georgia" w:cs="Arial"/>
          <w:i/>
        </w:rPr>
        <w:t xml:space="preserve"> </w:t>
      </w:r>
      <w:r>
        <w:rPr>
          <w:rFonts w:ascii="Georgia" w:hAnsi="Georgia" w:cs="Arial"/>
        </w:rPr>
        <w:t>y para todos los efectos legales que correspondan, se debe entender que el denunciante se encuentra conforme con el contenido y alcance del PDC respecto a los cargos N°</w:t>
      </w:r>
      <w:r>
        <w:rPr>
          <w:rFonts w:ascii="Georgia" w:hAnsi="Georgia" w:cs="Arial"/>
          <w:vertAlign w:val="superscript"/>
        </w:rPr>
        <w:t xml:space="preserve"> </w:t>
      </w:r>
      <w:r>
        <w:rPr>
          <w:rFonts w:ascii="Georgia" w:hAnsi="Georgia" w:cs="Arial"/>
        </w:rPr>
        <w:t xml:space="preserve">1 (relativo a la conversión a gas natural de la totalidad de equipos contemplados en la RCA N° 48, de 1998); N° 4 (relativo a la mayor producción de cobre que la contemplada en la RCA N° 462, de 2008); N° 6 (relativo al almacenamiento de barros anódicos); N° 8 (relativo a la ejecución de los compromisos de cierre del proyecto “Planta Piloto Tratamiento de Polvos de Electrofiltros Fundición”); y N° 9 (relativo a la ejecución de los compromisos de cierre del proyecto “Quinto Horno Deselenización Planta de Metales Nobles Ventanas”).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C) Las observaciones del Sr. León no se relacionan directamente con el contenido de los hechos constatados, ni con el de los cargos formulados, ni con el fijado en el Programa de Cumplimiento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El Programa de Cumplimiento presentado originalmente por Codelco, es un instrumento jurídico que se encuentra contemplado en el artículo 42 de</w:t>
      </w:r>
      <w:r w:rsidR="00787B2F">
        <w:rPr>
          <w:rFonts w:ascii="Georgia" w:hAnsi="Georgia" w:cs="Arial"/>
        </w:rPr>
        <w:t>l artículo segundo de</w:t>
      </w:r>
      <w:r>
        <w:rPr>
          <w:rFonts w:ascii="Georgia" w:hAnsi="Georgia" w:cs="Arial"/>
        </w:rPr>
        <w:t xml:space="preserve"> la ley N° 20.417, ley Orgánica de la Superintendencia del Medio Ambiente (en adelante, “</w:t>
      </w:r>
      <w:r>
        <w:rPr>
          <w:rFonts w:ascii="Georgia" w:hAnsi="Georgia" w:cs="Arial"/>
          <w:u w:val="single"/>
        </w:rPr>
        <w:t>LOSMA</w:t>
      </w:r>
      <w:r>
        <w:rPr>
          <w:rFonts w:ascii="Georgia" w:hAnsi="Georgia" w:cs="Arial"/>
        </w:rPr>
        <w:t>”), y que es complementado por el decreto N° 30, de 2012, del Ministerio de Medio Ambiente, que aprueba el “Reglamento sobre Programas de Cumplimiento, Autodenuncia y Planes de Reparación” (en adelante, “</w:t>
      </w:r>
      <w:r>
        <w:rPr>
          <w:rFonts w:ascii="Georgia" w:hAnsi="Georgia" w:cs="Arial"/>
          <w:u w:val="single"/>
        </w:rPr>
        <w:t>el Reglamento</w:t>
      </w:r>
      <w:r>
        <w:rPr>
          <w:rFonts w:ascii="Georgia" w:hAnsi="Georgia" w:cs="Arial"/>
        </w:rPr>
        <w:t>”).</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lastRenderedPageBreak/>
        <w:t>De acuerdo al inciso 2° del precitado artículo 42, “</w:t>
      </w:r>
      <w:r>
        <w:rPr>
          <w:rFonts w:ascii="Georgia" w:hAnsi="Georgia" w:cs="Arial"/>
          <w:i/>
        </w:rPr>
        <w:t>se entenderá como programa de cumplimiento, el plan de acciones y metas presentado por el infractor, para que dentro de un plazo fijado por la Superintendencia, los responsables cumplan satisfactoriamente con la normativa ambiental que se indique</w:t>
      </w:r>
      <w:r>
        <w:rPr>
          <w:rFonts w:ascii="Georgia" w:hAnsi="Georgia" w:cs="Arial"/>
        </w:rPr>
        <w:t>”.</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En consecuencia, los Programas de Cumplimiento tienen lugar dentro de un procedimiento sancionatorio, los cuales inician una vez que la Superintendencia del Medio Ambiente ha resuelto formular cargos. Así, un PDC posee como presupuesto que la autoridad fiscalizadora haya circunscrito determinados hechos vinculados a obligaciones ambientales, respecto de los cuales haya estimado que se configura alguna de las infracciones consagradas en el artículo 35 de la LOSMA.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De esta forma, el PDC, por su naturaleza, se encuentra concebido como un mecanismo que, a partir de los hechos reprochados administrativamente por la SMA, genera un plan de acciones y metas encaminadas al cumplimiento de la normativa ambiental y cuya infracción ha sido atribuida por la referida entidad pública.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En virtud de ello, los Programas de Cumplimiento presentan algunas características especiales que habrán de ser consideradas para ponderar las observaciones planteadas por el Sr. León, toda vez que, aun cuando algunas de ellas recaen sobre hechos vinculados tangencialmente con los cargos, otras se refieren a aspectos que no se encuentran en absoluto relacionados, motivo por el cual no son coherentes ni con el procedimiento sancionatorio en curso, ni, menos, con el objeto y contenido del PDC.</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Lo mismo es predicable respecto de las consideraciones que el Sr. León plantea inicialmente en su presentación, ya que se advierte nítidamente que no se encaminan a desarrollar un análisis concreto sobre el PDC, sino que se trata de alegaciones desconectadas con la materia que se conoce en este procedimiento administrativo, y por lo demás, se trata de aseveraciones genéricas, infundadas e inexactas; según pasamos a revisar</w:t>
      </w:r>
      <w:r w:rsidR="0090424E">
        <w:rPr>
          <w:rFonts w:ascii="Georgia" w:hAnsi="Georgia" w:cs="Arial"/>
        </w:rPr>
        <w:t xml:space="preserve"> en seguida.</w:t>
      </w:r>
    </w:p>
    <w:p w:rsidR="0090424E" w:rsidRDefault="0090424E" w:rsidP="004D740D">
      <w:pPr>
        <w:pStyle w:val="Sangradetextonormal"/>
        <w:tabs>
          <w:tab w:val="left" w:pos="0"/>
        </w:tabs>
        <w:spacing w:after="100" w:afterAutospacing="1" w:line="360" w:lineRule="auto"/>
        <w:ind w:left="0" w:firstLine="709"/>
        <w:jc w:val="both"/>
        <w:rPr>
          <w:rFonts w:ascii="Georgia" w:hAnsi="Georgia" w:cs="Arial"/>
        </w:rPr>
      </w:pPr>
    </w:p>
    <w:p w:rsidR="0090424E" w:rsidRPr="0090424E" w:rsidRDefault="0090424E" w:rsidP="004D740D">
      <w:pPr>
        <w:pStyle w:val="Sangradetextonormal"/>
        <w:tabs>
          <w:tab w:val="left" w:pos="0"/>
        </w:tabs>
        <w:spacing w:after="100" w:afterAutospacing="1" w:line="360" w:lineRule="auto"/>
        <w:ind w:left="0" w:firstLine="709"/>
        <w:jc w:val="both"/>
        <w:rPr>
          <w:rFonts w:ascii="Georgia" w:hAnsi="Georgia" w:cs="Arial"/>
          <w:b/>
        </w:rPr>
      </w:pPr>
      <w:r w:rsidRPr="0090424E">
        <w:rPr>
          <w:rFonts w:ascii="Georgia" w:hAnsi="Georgia" w:cs="Arial"/>
          <w:b/>
        </w:rPr>
        <w:lastRenderedPageBreak/>
        <w:t>I</w:t>
      </w:r>
      <w:r w:rsidR="004A77E3">
        <w:rPr>
          <w:rFonts w:ascii="Georgia" w:hAnsi="Georgia" w:cs="Arial"/>
          <w:b/>
        </w:rPr>
        <w:t>I</w:t>
      </w:r>
      <w:r w:rsidRPr="0090424E">
        <w:rPr>
          <w:rFonts w:ascii="Georgia" w:hAnsi="Georgia" w:cs="Arial"/>
          <w:b/>
        </w:rPr>
        <w:t xml:space="preserve">. </w:t>
      </w:r>
      <w:r>
        <w:rPr>
          <w:rFonts w:ascii="Georgia" w:hAnsi="Georgia" w:cs="Arial"/>
          <w:b/>
        </w:rPr>
        <w:tab/>
      </w:r>
      <w:r w:rsidRPr="0090424E">
        <w:rPr>
          <w:rFonts w:ascii="Georgia" w:hAnsi="Georgia" w:cs="Arial"/>
          <w:b/>
        </w:rPr>
        <w:t xml:space="preserve">SOBRE LAS OBSERVACIONES INICIALES </w:t>
      </w:r>
      <w:r w:rsidR="001C2A44">
        <w:rPr>
          <w:rFonts w:ascii="Georgia" w:hAnsi="Georgia" w:cs="Arial"/>
          <w:b/>
        </w:rPr>
        <w:t>FORMULADAS</w:t>
      </w:r>
      <w:r w:rsidRPr="0090424E">
        <w:rPr>
          <w:rFonts w:ascii="Georgia" w:hAnsi="Georgia" w:cs="Arial"/>
          <w:b/>
        </w:rPr>
        <w:t xml:space="preserve"> POR EL SR. LEÓN</w:t>
      </w:r>
    </w:p>
    <w:p w:rsidR="004D740D" w:rsidRDefault="0090424E"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A</w:t>
      </w:r>
      <w:r w:rsidR="004D740D" w:rsidRPr="00BF4FB0">
        <w:rPr>
          <w:rFonts w:ascii="Georgia" w:hAnsi="Georgia" w:cs="Arial"/>
          <w:b/>
        </w:rPr>
        <w:t>)</w:t>
      </w:r>
      <w:r w:rsidR="004D740D">
        <w:rPr>
          <w:rFonts w:ascii="Georgia" w:hAnsi="Georgia" w:cs="Arial"/>
        </w:rPr>
        <w:t xml:space="preserve"> </w:t>
      </w:r>
      <w:r>
        <w:rPr>
          <w:rFonts w:ascii="Georgia" w:hAnsi="Georgia" w:cs="Arial"/>
        </w:rPr>
        <w:t>El Sr. León</w:t>
      </w:r>
      <w:r w:rsidR="004D740D">
        <w:rPr>
          <w:rFonts w:ascii="Georgia" w:hAnsi="Georgia" w:cs="Arial"/>
        </w:rPr>
        <w:t xml:space="preserve"> efectúa </w:t>
      </w:r>
      <w:r>
        <w:rPr>
          <w:rFonts w:ascii="Georgia" w:hAnsi="Georgia" w:cs="Arial"/>
        </w:rPr>
        <w:t xml:space="preserve">primero </w:t>
      </w:r>
      <w:r w:rsidR="004D740D">
        <w:rPr>
          <w:rFonts w:ascii="Georgia" w:hAnsi="Georgia" w:cs="Arial"/>
        </w:rPr>
        <w:t xml:space="preserve">un alcance respecto a las </w:t>
      </w:r>
      <w:r w:rsidR="00440DED">
        <w:rPr>
          <w:rFonts w:ascii="Georgia" w:hAnsi="Georgia" w:cs="Arial"/>
        </w:rPr>
        <w:t>edificaciones existentes en el Complejo I</w:t>
      </w:r>
      <w:r w:rsidR="004D740D">
        <w:rPr>
          <w:rFonts w:ascii="Georgia" w:hAnsi="Georgia" w:cs="Arial"/>
        </w:rPr>
        <w:t>ndustrial Ventanas y su relación con la normativa ambiental, manifestando una supuesta necesidad de revisar su pertinencia de ingreso al Sistema de Evaluación de Impacto Ambiental (en adelante, “</w:t>
      </w:r>
      <w:r w:rsidR="004D740D">
        <w:rPr>
          <w:rFonts w:ascii="Georgia" w:hAnsi="Georgia" w:cs="Arial"/>
          <w:u w:val="single"/>
        </w:rPr>
        <w:t>SEIA</w:t>
      </w:r>
      <w:r w:rsidR="004D740D">
        <w:rPr>
          <w:rFonts w:ascii="Georgia" w:hAnsi="Georgia" w:cs="Arial"/>
        </w:rPr>
        <w:t>”), al mismo tiempo que formula un</w:t>
      </w:r>
      <w:r w:rsidR="00787B2F">
        <w:rPr>
          <w:rFonts w:ascii="Georgia" w:hAnsi="Georgia" w:cs="Arial"/>
        </w:rPr>
        <w:t xml:space="preserve"> reproche sobre el</w:t>
      </w:r>
      <w:r w:rsidR="004D740D">
        <w:rPr>
          <w:rFonts w:ascii="Georgia" w:hAnsi="Georgia" w:cs="Arial"/>
        </w:rPr>
        <w:t xml:space="preserve"> actuar de la Municipalidad de Puchuncaví. </w:t>
      </w:r>
    </w:p>
    <w:p w:rsidR="004D740D" w:rsidRDefault="00504C11"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Respecto de ello</w:t>
      </w:r>
      <w:r w:rsidR="004D740D">
        <w:rPr>
          <w:rFonts w:ascii="Georgia" w:hAnsi="Georgia" w:cs="Arial"/>
        </w:rPr>
        <w:t xml:space="preserve">, es evidente que se aleja completamente del contexto de los cargos formulados y del marco del PDC, motivo suficiente para desestimar en este estadio lo señalado por el denunciante. </w:t>
      </w:r>
    </w:p>
    <w:p w:rsidR="00835C66"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Igualmente es pertinente señalar que no es efectivo lo que indica. </w:t>
      </w:r>
    </w:p>
    <w:p w:rsidR="00AA3A19"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Ello</w:t>
      </w:r>
      <w:r w:rsidR="00504C11">
        <w:rPr>
          <w:rFonts w:ascii="Georgia" w:hAnsi="Georgia" w:cs="Arial"/>
        </w:rPr>
        <w:t>,</w:t>
      </w:r>
      <w:r w:rsidR="00AA3A19">
        <w:rPr>
          <w:rFonts w:ascii="Georgia" w:hAnsi="Georgia" w:cs="Arial"/>
        </w:rPr>
        <w:t xml:space="preserve"> por tres motivos: </w:t>
      </w:r>
    </w:p>
    <w:p w:rsidR="004D740D" w:rsidRDefault="0090424E"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1.</w:t>
      </w:r>
      <w:r w:rsidR="00AA3A19">
        <w:rPr>
          <w:rFonts w:ascii="Georgia" w:hAnsi="Georgia" w:cs="Arial"/>
        </w:rPr>
        <w:t xml:space="preserve"> P</w:t>
      </w:r>
      <w:r w:rsidR="004D740D">
        <w:rPr>
          <w:rFonts w:ascii="Georgia" w:hAnsi="Georgia" w:cs="Arial"/>
        </w:rPr>
        <w:t xml:space="preserve">rimero, porque desde que entró en vigencia el SEIA Codelco ha procurado dar estricto cumplimiento a la normativa ambiental, ingresando cada vez que ha correspondido los proyectos y sus cambios de consideración al SEIA. </w:t>
      </w:r>
    </w:p>
    <w:p w:rsidR="004D740D" w:rsidRDefault="00AA3A19"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E</w:t>
      </w:r>
      <w:r w:rsidR="004D740D">
        <w:rPr>
          <w:rFonts w:ascii="Georgia" w:hAnsi="Georgia" w:cs="Arial"/>
        </w:rPr>
        <w:t>s importante destacar que en esta materia el Sr. León construye sus alegaciones desde un supuesto erróneo, ya que claramente no es correcto aseverar que “</w:t>
      </w:r>
      <w:r w:rsidR="004D740D">
        <w:rPr>
          <w:rFonts w:ascii="Georgia" w:hAnsi="Georgia" w:cs="Arial"/>
          <w:i/>
        </w:rPr>
        <w:t>todas las construcciones posteriores a la Ley 19.300 deben incorporar resolución de calificación ambiental (RCA) o carta de pertinencia…</w:t>
      </w:r>
      <w:r w:rsidR="004D740D">
        <w:rPr>
          <w:rFonts w:ascii="Georgia" w:hAnsi="Georgia" w:cs="Arial"/>
        </w:rPr>
        <w:t>” (Denuncia de 7 de mayo de 2013, ante la SMA), toda vez que ello dependerá de la naturaleza y características del proyecto que se desarrollará, y en particular, si se encuentra dentro de los proyectos o actividades listados en el artículo 10 de la ley N° 19.300</w:t>
      </w:r>
      <w:r w:rsidR="00BF4FB0">
        <w:rPr>
          <w:rFonts w:ascii="Georgia" w:hAnsi="Georgia" w:cs="Arial"/>
        </w:rPr>
        <w:t>,</w:t>
      </w:r>
      <w:r w:rsidR="004D740D">
        <w:rPr>
          <w:rFonts w:ascii="Georgia" w:hAnsi="Georgia" w:cs="Arial"/>
        </w:rPr>
        <w:t xml:space="preserve"> o bien, si trata de un cambio de consideración de conformidad a lo contemplado por el artículo 2 letra g) del Reglamento del SEIA.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Además, tal como ha establecido expresamente el Servicio de Evaluación Ambiental (en adelante, “</w:t>
      </w:r>
      <w:r>
        <w:rPr>
          <w:rFonts w:ascii="Georgia" w:hAnsi="Georgia" w:cs="Arial"/>
          <w:u w:val="single"/>
        </w:rPr>
        <w:t>SEA</w:t>
      </w:r>
      <w:r>
        <w:rPr>
          <w:rFonts w:ascii="Georgia" w:hAnsi="Georgia" w:cs="Arial"/>
        </w:rPr>
        <w:t xml:space="preserve">”), la consulta de pertinencia de ingreso al SEIA no es </w:t>
      </w:r>
      <w:r>
        <w:rPr>
          <w:rFonts w:ascii="Georgia" w:hAnsi="Georgia" w:cs="Arial"/>
        </w:rPr>
        <w:lastRenderedPageBreak/>
        <w:t xml:space="preserve">un trámite obligatorio, y tampoco constituye un requisito previo necesario para el otorgamiento de un permiso sectorial, sino que consiste en un trámite efectuado por los proponentes, de carácter voluntario y previo al eventual sometimiento de un proyecto o actividad, o de su modificación, al SEIA; razón por la cual no corresponde que sea requerido, bajo el carácter de presupuesto de aprobación, por parte de los distintos Servicios Públicos (Instructivo N° 142.090, de 27 de noviembre de 2014, del SEA).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rPr>
        <w:t xml:space="preserve">Enseguida, es oportuno aclarar que el dictamen citado al efecto tampoco posee el </w:t>
      </w:r>
      <w:r w:rsidR="00835C66">
        <w:rPr>
          <w:rFonts w:ascii="Georgia" w:hAnsi="Georgia" w:cs="Arial"/>
        </w:rPr>
        <w:t>alcance</w:t>
      </w:r>
      <w:r>
        <w:rPr>
          <w:rFonts w:ascii="Georgia" w:hAnsi="Georgia" w:cs="Arial"/>
        </w:rPr>
        <w:t xml:space="preserve"> que pretende el Sr. León, toda vez que éste, en lo pertinente, solamente </w:t>
      </w:r>
      <w:r w:rsidR="00835C66">
        <w:rPr>
          <w:rFonts w:ascii="Georgia" w:hAnsi="Georgia" w:cs="Arial"/>
        </w:rPr>
        <w:t>indica</w:t>
      </w:r>
      <w:r>
        <w:rPr>
          <w:rFonts w:ascii="Georgia" w:hAnsi="Georgia" w:cs="Arial"/>
        </w:rPr>
        <w:t xml:space="preserve"> que: “</w:t>
      </w:r>
      <w:r>
        <w:rPr>
          <w:rFonts w:ascii="Georgia" w:hAnsi="Georgia" w:cs="Arial"/>
          <w:i/>
        </w:rPr>
        <w:t>Asimismo, se ha expresado, entre otros, en el dictamen N° 59.370, de 2014, de esta Sede de Control, que el SEIA empezó a regir el 3 de abril de 1997, lo que aconteció con la publicación del Reglamento del Sistema de Evaluación de Impacto Ambiental, sancionado por el decreto N° 30, de 1997, del Ministerio Secretaría General de la Presidencia, derogado luego por el decreto N° 40, de 2012, del Ministerio del Medio Ambiente, que aprueba el nuevo Reglamento del Sistema de Evaluación de Impacto Ambiental.</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De esta forma, aquellos proyectos que se ejecutaron antes de la vigencia del SEIA no deben someterse a ese sistema, lo que no puede extenderse a las modificaciones de dichos proyectos, ejecutados con posterioridad a tal vigencia, que impliquen cambios de consideración que de acuerdo a esa preceptiva corresponda sean evaluados (aplica criterio contenido en los dictámenes N°s. 18.436, de 2003 y 27.856, de 2005, de esta Entidad de Fiscalización)”.</w:t>
      </w:r>
    </w:p>
    <w:p w:rsidR="004D740D" w:rsidRDefault="0090424E"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2.</w:t>
      </w:r>
      <w:r w:rsidR="00FB11F7">
        <w:rPr>
          <w:rFonts w:ascii="Georgia" w:hAnsi="Georgia" w:cs="Arial"/>
        </w:rPr>
        <w:t xml:space="preserve"> E</w:t>
      </w:r>
      <w:r w:rsidR="004D740D">
        <w:rPr>
          <w:rFonts w:ascii="Georgia" w:hAnsi="Georgia" w:cs="Arial"/>
        </w:rPr>
        <w:t xml:space="preserve">n segundo lugar, </w:t>
      </w:r>
      <w:r w:rsidR="00BF4FB0">
        <w:rPr>
          <w:rFonts w:ascii="Georgia" w:hAnsi="Georgia" w:cs="Arial"/>
        </w:rPr>
        <w:t>es importante destacar</w:t>
      </w:r>
      <w:r w:rsidR="00FB11F7">
        <w:rPr>
          <w:rFonts w:ascii="Georgia" w:hAnsi="Georgia" w:cs="Arial"/>
        </w:rPr>
        <w:t xml:space="preserve"> que la operación completa del Complejo I</w:t>
      </w:r>
      <w:r w:rsidR="004D740D">
        <w:rPr>
          <w:rFonts w:ascii="Georgia" w:hAnsi="Georgia" w:cs="Arial"/>
        </w:rPr>
        <w:t xml:space="preserve">ndustrial Ventanas se encuentra </w:t>
      </w:r>
      <w:r w:rsidR="00FC7D1F">
        <w:rPr>
          <w:rFonts w:ascii="Georgia" w:hAnsi="Georgia" w:cs="Arial"/>
        </w:rPr>
        <w:t xml:space="preserve">en todo caso </w:t>
      </w:r>
      <w:r w:rsidR="004D740D">
        <w:rPr>
          <w:rFonts w:ascii="Georgia" w:hAnsi="Georgia" w:cs="Arial"/>
        </w:rPr>
        <w:t>bajo la potestad fiscalizadora de la SMA, independiente de las fechas de las construcciones que lo conforman</w:t>
      </w:r>
      <w:r w:rsidR="008E7A56">
        <w:rPr>
          <w:rFonts w:ascii="Georgia" w:hAnsi="Georgia" w:cs="Arial"/>
        </w:rPr>
        <w:t>, y obviamente en el marco de atribuciones que en particular establece el artículo 3 de la LOSMA</w:t>
      </w:r>
      <w:r w:rsidR="004D740D">
        <w:rPr>
          <w:rFonts w:ascii="Georgia" w:hAnsi="Georgia" w:cs="Arial"/>
        </w:rPr>
        <w:t>.</w:t>
      </w:r>
    </w:p>
    <w:p w:rsidR="004D740D" w:rsidRDefault="0090424E" w:rsidP="004D740D">
      <w:pPr>
        <w:pStyle w:val="Sangradetextonormal"/>
        <w:tabs>
          <w:tab w:val="left" w:pos="0"/>
        </w:tabs>
        <w:spacing w:after="100" w:afterAutospacing="1" w:line="360" w:lineRule="auto"/>
        <w:ind w:left="0" w:firstLine="709"/>
        <w:jc w:val="both"/>
        <w:rPr>
          <w:rFonts w:ascii="Georgia" w:hAnsi="Georgia" w:cs="Arial"/>
          <w:lang w:val="es-CL"/>
        </w:rPr>
      </w:pPr>
      <w:r>
        <w:rPr>
          <w:rFonts w:ascii="Georgia" w:hAnsi="Georgia" w:cs="Arial"/>
        </w:rPr>
        <w:lastRenderedPageBreak/>
        <w:t>3.</w:t>
      </w:r>
      <w:r w:rsidR="00FB11F7">
        <w:rPr>
          <w:rFonts w:ascii="Georgia" w:hAnsi="Georgia" w:cs="Arial"/>
        </w:rPr>
        <w:t xml:space="preserve"> En tercer término, cabe señalar</w:t>
      </w:r>
      <w:r w:rsidR="004D740D">
        <w:rPr>
          <w:rFonts w:ascii="Georgia" w:hAnsi="Georgia" w:cs="Arial"/>
        </w:rPr>
        <w:t xml:space="preserve"> que </w:t>
      </w:r>
      <w:r w:rsidR="008E7A56">
        <w:rPr>
          <w:rFonts w:ascii="Georgia" w:hAnsi="Georgia" w:cs="Arial"/>
        </w:rPr>
        <w:t>el Sr. León</w:t>
      </w:r>
      <w:r w:rsidR="004D740D">
        <w:rPr>
          <w:rFonts w:ascii="Georgia" w:hAnsi="Georgia" w:cs="Arial"/>
        </w:rPr>
        <w:t xml:space="preserve"> incurre en una confusión en los antecedentes que sustentan su aseveración, toda vez que, tal como señalaremos más adelante, Codelco desarrolló un procedimiento de </w:t>
      </w:r>
      <w:r w:rsidR="004D740D">
        <w:rPr>
          <w:rFonts w:ascii="Georgia" w:hAnsi="Georgia" w:cs="Arial"/>
          <w:lang w:val="es-CL"/>
        </w:rPr>
        <w:t xml:space="preserve">reconstitución de expedientes tramitados en la Dirección de Obras Municipales de Puchuncaví, conforme a los artículos 668 y siguientes del Código de Procedimiento Penal - relativos a la perdida de expedientes - y a la ley N° 16.665 sobre Reconstitución de Registros de Conservadores de Bienes Raíces, lo que además se alinea con lo dispuesto por el mismo dictamen citado por el denunciante (N° 66.261, de 2015). </w:t>
      </w:r>
    </w:p>
    <w:p w:rsidR="004D740D" w:rsidRDefault="00FB11F7" w:rsidP="004D740D">
      <w:pPr>
        <w:pStyle w:val="Sangradetextonormal"/>
        <w:tabs>
          <w:tab w:val="left" w:pos="0"/>
        </w:tabs>
        <w:spacing w:after="100" w:afterAutospacing="1" w:line="360" w:lineRule="auto"/>
        <w:ind w:left="0" w:firstLine="709"/>
        <w:jc w:val="both"/>
        <w:rPr>
          <w:rFonts w:ascii="Georgia" w:hAnsi="Georgia" w:cs="Arial"/>
          <w:lang w:val="es-CL"/>
        </w:rPr>
      </w:pPr>
      <w:r>
        <w:rPr>
          <w:rFonts w:ascii="Georgia" w:hAnsi="Georgia" w:cs="Arial"/>
          <w:lang w:val="es-CL"/>
        </w:rPr>
        <w:t>E</w:t>
      </w:r>
      <w:r w:rsidR="004D740D">
        <w:rPr>
          <w:rFonts w:ascii="Georgia" w:hAnsi="Georgia" w:cs="Arial"/>
          <w:lang w:val="es-CL"/>
        </w:rPr>
        <w:t>llo no implica que todas estas obras se hayan construido recientemente, como parece postular el Sr. León; pudiendo agregarse que, por el contrario, muchas de ellas fueron realizadas en la década de 1960.</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lang w:val="es-CL"/>
        </w:rPr>
        <w:t xml:space="preserve">Por último, sólo cabe agregar que no corresponde a </w:t>
      </w:r>
      <w:r w:rsidR="00974992">
        <w:rPr>
          <w:rFonts w:ascii="Georgia" w:hAnsi="Georgia" w:cs="Arial"/>
          <w:lang w:val="es-CL"/>
        </w:rPr>
        <w:t>Codelco</w:t>
      </w:r>
      <w:r>
        <w:rPr>
          <w:rFonts w:ascii="Georgia" w:hAnsi="Georgia" w:cs="Arial"/>
          <w:lang w:val="es-CL"/>
        </w:rPr>
        <w:t xml:space="preserve"> calificar ni referirnos a la alegación que ha formulado el denunciante en relación al supuesto incumplimiento de la </w:t>
      </w:r>
      <w:r w:rsidR="00974992">
        <w:rPr>
          <w:rFonts w:ascii="Georgia" w:hAnsi="Georgia" w:cs="Arial"/>
          <w:lang w:val="es-CL"/>
        </w:rPr>
        <w:t xml:space="preserve">I. </w:t>
      </w:r>
      <w:r>
        <w:rPr>
          <w:rFonts w:ascii="Georgia" w:hAnsi="Georgia" w:cs="Arial"/>
          <w:lang w:val="es-CL"/>
        </w:rPr>
        <w:t>Municipalidad de Puchuncaví en cuanto a su coordinación con la SMA</w:t>
      </w:r>
      <w:r w:rsidR="00974992">
        <w:rPr>
          <w:rFonts w:ascii="Georgia" w:hAnsi="Georgia" w:cs="Arial"/>
          <w:lang w:val="es-CL"/>
        </w:rPr>
        <w:t xml:space="preserve">, sin perjuicio de agregar </w:t>
      </w:r>
      <w:r>
        <w:rPr>
          <w:rFonts w:ascii="Georgia" w:hAnsi="Georgia" w:cs="Arial"/>
          <w:lang w:val="es-CL"/>
        </w:rPr>
        <w:t xml:space="preserve">que </w:t>
      </w:r>
      <w:r w:rsidR="00974992">
        <w:rPr>
          <w:rFonts w:ascii="Georgia" w:hAnsi="Georgia" w:cs="Arial"/>
          <w:lang w:val="es-CL"/>
        </w:rPr>
        <w:t xml:space="preserve">claramente </w:t>
      </w:r>
      <w:r>
        <w:rPr>
          <w:rFonts w:ascii="Georgia" w:hAnsi="Georgia" w:cs="Arial"/>
          <w:lang w:val="es-CL"/>
        </w:rPr>
        <w:t xml:space="preserve">se trata de cuestiones que </w:t>
      </w:r>
      <w:r w:rsidR="00974992">
        <w:rPr>
          <w:rFonts w:ascii="Georgia" w:hAnsi="Georgia" w:cs="Arial"/>
          <w:lang w:val="es-CL"/>
        </w:rPr>
        <w:t>escapan del</w:t>
      </w:r>
      <w:r>
        <w:rPr>
          <w:rFonts w:ascii="Georgia" w:hAnsi="Georgia" w:cs="Arial"/>
          <w:lang w:val="es-CL"/>
        </w:rPr>
        <w:t xml:space="preserve"> objeto de este procedimiento. </w:t>
      </w:r>
    </w:p>
    <w:p w:rsidR="003C3810" w:rsidRDefault="0090424E"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B</w:t>
      </w:r>
      <w:r w:rsidR="004D740D" w:rsidRPr="00BF4FB0">
        <w:rPr>
          <w:rFonts w:ascii="Georgia" w:hAnsi="Georgia" w:cs="Arial"/>
          <w:b/>
        </w:rPr>
        <w:t>)</w:t>
      </w:r>
      <w:r w:rsidR="004D740D">
        <w:rPr>
          <w:rFonts w:ascii="Georgia" w:hAnsi="Georgia" w:cs="Arial"/>
        </w:rPr>
        <w:t xml:space="preserve"> Luego, </w:t>
      </w:r>
      <w:r w:rsidR="00974992">
        <w:rPr>
          <w:rFonts w:ascii="Georgia" w:hAnsi="Georgia" w:cs="Arial"/>
        </w:rPr>
        <w:t xml:space="preserve">el Sr. León </w:t>
      </w:r>
      <w:r w:rsidR="004D740D">
        <w:rPr>
          <w:rFonts w:ascii="Georgia" w:hAnsi="Georgia" w:cs="Arial"/>
        </w:rPr>
        <w:t xml:space="preserve">acusa un problema relativo a las mediciones, las que afirma han sido hechas por Codelco durante 50 años adoleciendo de falta de transparencia en la información medio ambiental, lo que a su juicio pone en grave riesgo la vida y el medio ambiente, lo que sería explicado en los estudios de recursos marinos realizados por Subpesca-IFOP en la Bahía de Quintero.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Así, el Sr. León vincula a Codelco con el deterioro en los alimentos marinos, proponiendo finalmente que sean terceros independientes los que realicen las mediciones y que existan procesos continuos de medición en línea con certificación, los que deben ser publicados en los sitios web de la SMA o del Ministerio del Medio Ambiente.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lastRenderedPageBreak/>
        <w:t>Sobre lo expuesto por el denunciante, al igual que en el caso anterior, es claro que se aleja completamente del marco fijado por los hechos imputados por la SMA como también del contenido del PDC.</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Igualmente es dable señalar que en el año 2005, en virtud de la ley N° 19.993, el plantel industrial de Ventanas pasó a ser administrado oficialmente por Codelco, motivo por el cual la alusión a un problema de 50 años por parte de esta Corporación claramente no posee asidero alguno.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Enseguida, yendo al fondo de lo señalado por el Sr. León, aun cuando rechazamos enérgicamente que Codelco adolezca de falta de transparencia en su información medio ambiental, es pertinente sostener que dicha crítica es genérica, y no aporta dato o antecedente alguno que la sustente, razón por la cual resulta imposible controvertir circunstanciadamente su alegación.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A su vez, es </w:t>
      </w:r>
      <w:r w:rsidR="008E7A56">
        <w:rPr>
          <w:rFonts w:ascii="Georgia" w:hAnsi="Georgia" w:cs="Arial"/>
        </w:rPr>
        <w:t>necesario</w:t>
      </w:r>
      <w:r>
        <w:rPr>
          <w:rFonts w:ascii="Georgia" w:hAnsi="Georgia" w:cs="Arial"/>
        </w:rPr>
        <w:t xml:space="preserve"> señalar que las emisiones que genera Codelco se encuentran dentro del marco técnico-jurídico </w:t>
      </w:r>
      <w:r w:rsidR="008E7A56">
        <w:rPr>
          <w:rFonts w:ascii="Georgia" w:hAnsi="Georgia" w:cs="Arial"/>
        </w:rPr>
        <w:t xml:space="preserve">bajo el cual </w:t>
      </w:r>
      <w:r>
        <w:rPr>
          <w:rFonts w:ascii="Georgia" w:hAnsi="Georgia" w:cs="Arial"/>
        </w:rPr>
        <w:t>ha sido autorizado</w:t>
      </w:r>
      <w:r w:rsidR="008E7A56">
        <w:rPr>
          <w:rFonts w:ascii="Georgia" w:hAnsi="Georgia" w:cs="Arial"/>
        </w:rPr>
        <w:t>, y bajo el cual debe funcionar</w:t>
      </w:r>
      <w:r>
        <w:rPr>
          <w:rFonts w:ascii="Georgia" w:hAnsi="Georgia" w:cs="Arial"/>
        </w:rPr>
        <w:t xml:space="preserve">. Además, los informes del Instituto de Fomento Pesquero de la Subsecretaría de Pesca y Acuicultura que acompaña el denunciante no </w:t>
      </w:r>
      <w:r w:rsidR="00974992">
        <w:rPr>
          <w:rFonts w:ascii="Georgia" w:hAnsi="Georgia" w:cs="Arial"/>
        </w:rPr>
        <w:t>fijan</w:t>
      </w:r>
      <w:r>
        <w:rPr>
          <w:rFonts w:ascii="Georgia" w:hAnsi="Georgia" w:cs="Arial"/>
        </w:rPr>
        <w:t xml:space="preserve"> las conclusiones que éste plantea en su presentación, siendo éstas </w:t>
      </w:r>
      <w:r w:rsidR="00974992">
        <w:rPr>
          <w:rFonts w:ascii="Georgia" w:hAnsi="Georgia" w:cs="Arial"/>
        </w:rPr>
        <w:t xml:space="preserve">meras </w:t>
      </w:r>
      <w:r>
        <w:rPr>
          <w:rFonts w:ascii="Georgia" w:hAnsi="Georgia" w:cs="Arial"/>
        </w:rPr>
        <w:t>conjeturas formuladas por el Sr. León.</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Por último, en cuanto al requerimiento planteado, en el sentido que deberían ser terceros independientes los que realicen la mediciones mediante procesos continuos en línea con certificación, y que luego sean de público acceso; a todas luces se escapa del objeto de esta clase de pronunciamiento, encontrando un lugar más cercano en las políticas públicas, o bien, dentro del campo de las modificaciones normativas. </w:t>
      </w:r>
    </w:p>
    <w:p w:rsidR="00BA3566"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No obstante, tal como desarrollaremos más adelante, las muestras que deben tomarse en el marco del cumplimiento del Plan de Descontaminación del Complejo Industrial Ventanas, han sido siempre desarrolladas por un laboratorio externo a </w:t>
      </w:r>
      <w:r>
        <w:rPr>
          <w:rFonts w:ascii="Georgia" w:hAnsi="Georgia" w:cs="Arial"/>
        </w:rPr>
        <w:lastRenderedPageBreak/>
        <w:t xml:space="preserve">Codelco, por lo que dicho aspecto se encuentra actualmente en el sentido de lo demandado por el Sr. León.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Enseguida, cabe aclarar que en relación a la determinación de emisiones de azufre, la razón por la cual no se ha podido proceder de igual forma, es sólo porque no existe un laboratorio externo acreditado ante el INN, y no por falta de voluntad o diligencia de esta Corporación.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En todo caso, es relevante destacar que, sea cual fuere el sentido y alcance de las observaciones aludidas, ninguna de estas aporta antecedentes concretos que desmedren el nivel de cumplimiento y satisfacción de los criterios de aprobación del PDC.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bCs/>
          <w:caps/>
        </w:rPr>
      </w:pPr>
      <w:r>
        <w:rPr>
          <w:rFonts w:ascii="Georgia" w:hAnsi="Georgia" w:cs="Arial"/>
          <w:b/>
          <w:bCs/>
          <w:caps/>
        </w:rPr>
        <w:t>I</w:t>
      </w:r>
      <w:r w:rsidR="004A77E3">
        <w:rPr>
          <w:rFonts w:ascii="Georgia" w:hAnsi="Georgia" w:cs="Arial"/>
          <w:b/>
          <w:bCs/>
          <w:caps/>
        </w:rPr>
        <w:t>I</w:t>
      </w:r>
      <w:r>
        <w:rPr>
          <w:rFonts w:ascii="Georgia" w:hAnsi="Georgia" w:cs="Arial"/>
          <w:b/>
          <w:bCs/>
          <w:caps/>
        </w:rPr>
        <w:t xml:space="preserve">I. Consideraciones sobre las observaciones </w:t>
      </w:r>
      <w:r w:rsidR="00A90D1C">
        <w:rPr>
          <w:rFonts w:ascii="Georgia" w:hAnsi="Georgia" w:cs="Arial"/>
          <w:b/>
          <w:bCs/>
          <w:caps/>
        </w:rPr>
        <w:t xml:space="preserve">PUNTUALES </w:t>
      </w:r>
      <w:r>
        <w:rPr>
          <w:rFonts w:ascii="Georgia" w:hAnsi="Georgia" w:cs="Arial"/>
          <w:b/>
          <w:bCs/>
          <w:caps/>
        </w:rPr>
        <w:t>formuladas por el Sr. León</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A efectos de proceder a su análisis, seguiremos la estructura desarrollada por el denunciante bajo el título “</w:t>
      </w:r>
      <w:r>
        <w:rPr>
          <w:rFonts w:ascii="Georgia" w:hAnsi="Georgia" w:cs="Arial"/>
          <w:i/>
        </w:rPr>
        <w:t>Detalle de observaciones a incumplimientos</w:t>
      </w:r>
      <w:r>
        <w:rPr>
          <w:rFonts w:ascii="Georgia" w:hAnsi="Georgia" w:cs="Arial"/>
        </w:rPr>
        <w:t>”, las que se relacionan con los hechos que la SMA ha estimado constitutivos de infracción, y que se encuentran plasmados en los N°</w:t>
      </w:r>
      <w:r>
        <w:rPr>
          <w:rFonts w:ascii="Georgia" w:hAnsi="Georgia" w:cs="Arial"/>
          <w:vertAlign w:val="superscript"/>
        </w:rPr>
        <w:t>s</w:t>
      </w:r>
      <w:r>
        <w:rPr>
          <w:rFonts w:ascii="Georgia" w:hAnsi="Georgia" w:cs="Arial"/>
        </w:rPr>
        <w:t xml:space="preserve"> 1, 2 y 3, del Resuelvo N° I de los cargos formulados mediante la Resolución Exenta N° 1, de 6 de mayo de 2016.</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A) Observación vinculada con los hechos N° 2 de los cargos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1. Hechos imputados por la SMA: </w:t>
      </w:r>
      <w:r>
        <w:rPr>
          <w:rFonts w:ascii="Georgia" w:hAnsi="Georgia" w:cs="Arial"/>
        </w:rPr>
        <w:t>No contar con sistema de captación, lavado y extracción de gases de neblina ácida en la Planta de Tratamiento del Electrolito de conformidad con lo establecido en la RCA 462/2008.</w:t>
      </w:r>
      <w:r>
        <w:rPr>
          <w:rFonts w:ascii="Georgia" w:hAnsi="Georgia" w:cs="Arial"/>
          <w:b/>
        </w:rPr>
        <w:t xml:space="preserve"> </w:t>
      </w:r>
    </w:p>
    <w:p w:rsidR="004D740D" w:rsidRDefault="004D740D" w:rsidP="008A3F08">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2. Acción contemplada en el PDC originalmente presentado: (a) </w:t>
      </w:r>
      <w:r>
        <w:rPr>
          <w:rFonts w:ascii="Georgia" w:hAnsi="Georgia" w:cs="Arial"/>
        </w:rPr>
        <w:t xml:space="preserve">Eliminación del proceso que generaba neblina ácida con eventual contenido de  gas arsina. </w:t>
      </w:r>
      <w:r>
        <w:rPr>
          <w:rFonts w:ascii="Georgia" w:hAnsi="Georgia" w:cs="Arial"/>
          <w:b/>
        </w:rPr>
        <w:t>(b)</w:t>
      </w:r>
      <w:r>
        <w:rPr>
          <w:rFonts w:ascii="Georgia" w:hAnsi="Georgia" w:cs="Arial"/>
        </w:rPr>
        <w:t xml:space="preserve"> Presentación y  obtención de pronunciamiento respecto a consulta de pertinencia ingresada al Servicio de Evaluación Ambiental, que establezca que es un cambio en el proyecto que no requiere de evaluación ambiental. </w:t>
      </w:r>
      <w:r>
        <w:rPr>
          <w:rFonts w:ascii="Georgia" w:hAnsi="Georgia" w:cs="Arial"/>
          <w:b/>
        </w:rPr>
        <w:t>(c)</w:t>
      </w:r>
      <w:r>
        <w:rPr>
          <w:rFonts w:ascii="Georgia" w:hAnsi="Georgia" w:cs="Arial"/>
        </w:rPr>
        <w:t xml:space="preserve"> Para el evento en </w:t>
      </w:r>
      <w:r>
        <w:rPr>
          <w:rFonts w:ascii="Georgia" w:hAnsi="Georgia" w:cs="Arial"/>
        </w:rPr>
        <w:lastRenderedPageBreak/>
        <w:t>que el Servicio de Evaluación Ambiental decida que se trata de un cambio de consideración, ingresar éste al Sistema de Evaluación de Impacto Ambiental, con el objeto de obtener la correspondiente resolución de calificación ambiental favorable.</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3. Observación del Sr. León: Incumplimiento N° 2: </w:t>
      </w:r>
      <w:r>
        <w:rPr>
          <w:rFonts w:ascii="Georgia" w:hAnsi="Georgia" w:cs="Arial"/>
        </w:rPr>
        <w:t>“</w:t>
      </w:r>
      <w:r>
        <w:rPr>
          <w:rFonts w:ascii="Georgia" w:hAnsi="Georgia" w:cs="Arial"/>
          <w:i/>
        </w:rPr>
        <w:t>No es consistente con la información entregada por la ley de Transparencia de las inversiones medioambientales. Se pide revocación de la RCA por no cumplimiento, la neblina ácida con gas arsino es altamente tóxico y perjudicial para la salud, puede estar relacionado con intoxicación de escuela de la Greda”.</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4. Consideraciones sobre la observación: </w:t>
      </w:r>
      <w:r>
        <w:rPr>
          <w:rFonts w:ascii="Georgia" w:hAnsi="Georgia" w:cs="Arial"/>
        </w:rPr>
        <w:t xml:space="preserve">En primer lugar, cabe señalar que no es posible encontrar ninguna relación entre la alusión a las inversiones medioambientales que ha desarrollado la División Ventanas de Codelco y que han sido citadas al efecto, con los hechos que se han estimado constitutivos de infracción, como tampoco con el contenido del PDC originalmente presentado, por lo que, ante una manifiesta falta de desarrollo y fundamentación,  no podemos hacernos cargo de la supuesta falta de consistencia que acusa el Sr. León.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Por otro lado, la solicitud planteada, en cuanto requiere que se imponga como sanción la revocación de la RCA tampoco guarda relación alguna con el alcance, suficiencia o contenido del PDC presentado por esta parte, siendo inoficioso profundizar al respecto.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Aun cuando tampoco es pertinente con el contenido de las acciones y metas propuestas en el Programa, es oportuno señalar que carece de sustento fáctico y técnico la inferencia del Sr. León, en cuanto postula una eventual relación de causalidad entre la eliminación del sistema de captación de gases de neblina ácida de la Planta de Tratamiento del Electrolito con los eventos acaecidos sobre la “escuela de La Greda”.</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Sobre el particular, cabe reiterar que la refinería electrolítica, en su proceso de refinación de cobre, requiere mantener controladas las impurezas con</w:t>
      </w:r>
      <w:r w:rsidR="00960096">
        <w:rPr>
          <w:rFonts w:ascii="Georgia" w:hAnsi="Georgia" w:cs="Arial"/>
        </w:rPr>
        <w:t xml:space="preserve">tenidas en los </w:t>
      </w:r>
      <w:r w:rsidR="00960096">
        <w:rPr>
          <w:rFonts w:ascii="Georgia" w:hAnsi="Georgia" w:cs="Arial"/>
        </w:rPr>
        <w:lastRenderedPageBreak/>
        <w:t>ánodos de cobre.</w:t>
      </w:r>
      <w:r>
        <w:rPr>
          <w:rFonts w:ascii="Georgia" w:hAnsi="Georgia" w:cs="Arial"/>
        </w:rPr>
        <w:t xml:space="preserve"> Para tal efecto se utilizó, hasta el año 2011, el proceso de purificación del electrolito, mediante  un proceso secuencial de electro-obtención en celdas.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Este proceso constaba de 3 etapas, las cuales se denominaban descobrización  normal, descobrización parcial y descobrización total, que se diferenciaban en base a la concentración residual de cobre en cada etapa. Cabe señalar, que la proporción del total de celdas electrolíticas para este proceso, era inferior al 2% del total de celdas de la Refinería, que es eminentemente un proceso de Electrorefinación.</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En la descobrización total, dado que la concentración final de cobre podía alcanzar valores menores a 0,5 gpl, bajo ciertas circunstancias existía la probabilidad de generar neblina ácida con contenidos de gas arsina (AsH3). Por esta razón, en esta etapa de proceso en particular, se monitoreaba permanentemente el potencial electroquímico del proceso, el cual se encontraba enlazado con la corriente aplicada, de manera de evitar la generación y evolución del gas arsina, cortando en forma automática el suministro de energía al proceso si fuere necesario.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Sin perjuicio de lo anterior y ante esta posibilidad de generación de neblina ácida con eventual contenido de gas arsina, se instaló un sistema de captación de gases mediante campanas y un sistema de lavado de gases, destinado a abatir las emisiones de neblina ácida, en caso de generarse.</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Con la finalidad de eliminar los riesgos antes mencionados y aprovechando sinergias corporativas con la División El Teniente, se estableció un acuerdo para el tratamiento del electrolito en las instalaciones de esa División. Esta medida permitió eliminar las etapas de descobrización parcial y total, dejando solamente la etapa de descobrización normal en la División Ventanas. Por esta razón a partir de 2011 y conforme RCA 789/2011 del proyecto “Transporte de Electrolito de Refinería”, la totalidad del electrolito de la División Ventanas se envía para su tratamiento en instalaciones externas.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La etapa de descobrización normal se realizaba en algunas celdas ubicadas al interior de la nave de refinería, como se explica en la página 7 de la DIA del proyecto, </w:t>
      </w:r>
      <w:r>
        <w:rPr>
          <w:rFonts w:ascii="Georgia" w:hAnsi="Georgia" w:cs="Arial"/>
        </w:rPr>
        <w:lastRenderedPageBreak/>
        <w:t xml:space="preserve">y para cada uno de los seis circuitos. La modificación realizada, permitió trasladar las celdas de descobrización normal desde el interior de la nave al sector que anteriormente era utilizado por la etapa de descobrización total, desapareciendo completamente el riesgo de generación de neblina ácida con eventual contenido de arsina. Esta área se ubica adyacente a la nave de electorefinación propiamente tal y dispone de ventilación al estar al exterior del edificio principal de la refinería.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Por último,  cabe reiterar que se justifica la eliminación de las campanas, porque al suprimirse el proceso de descobrización total, respecto del cual se había establecido la medida de control, se descarta el riesgo de generación de neblina ácida con eventual contenido de gas arsina, que era el objetivo del sistema de campanas y lavador de gases.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De esta forma, podemos concluir que las observaciones formuladas por el Sr. León Cabrera no son pertinentes con el contenido y alcance de las acciones y metas presentadas por Codelco para dar cumplimiento a la normativa ambiental, sin perjuicio de las aclaraciones, incorporaciones y rectificaciones que ha efectuado Codelco sobre el PDC con esta fecha, pronunciándonos sobre lo requerido por la SMA en el resuelvo N° I letra B.8, y 9 de su Resolución Exenta N° 5/Rol-18-2016.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B) Observación vinculada con los hechos N° 3 de los cargos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1. Hechos imputados por la SMA: </w:t>
      </w:r>
      <w:r>
        <w:rPr>
          <w:rFonts w:ascii="Georgia" w:hAnsi="Georgia" w:cs="Arial"/>
        </w:rPr>
        <w:t>Generar una cantidad de laminilla de plomo mayor a la autorizada ambientalmente durante 2013, 2014 y 2015.</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2. Acción contemplada en el PDC originalmente presentado: (a)</w:t>
      </w:r>
      <w:r>
        <w:rPr>
          <w:rFonts w:ascii="Georgia" w:hAnsi="Georgia" w:cs="Arial"/>
        </w:rPr>
        <w:t xml:space="preserve"> Almacenar, transportar y disponer el residuo laminillas de plomo  en  Centro de Acopio Temporal de Residuos Peligrosos - Refinería, aprobado mediante Resolución N° 1533/2011 de la Seremi de Salud de la región de Valparaíso y de acuerdo a lo indicado en  ORD. N°303 del 5 de mayo de 2010, que aprueba la actualización N° 01 del Plan de Manejo de Residuos Peligrosos de Fundición y Refinería Ventanas y ORD. N° 0616, del 3 de noviembre de 2014 que  considera una nueva actualización del Plan de Manejo de Residuos Peligrosos para la misma Fundición, ambos de la Seremi de </w:t>
      </w:r>
      <w:r>
        <w:rPr>
          <w:rFonts w:ascii="Georgia" w:hAnsi="Georgia" w:cs="Arial"/>
        </w:rPr>
        <w:lastRenderedPageBreak/>
        <w:t xml:space="preserve">Salud de la región de Valparaíso. </w:t>
      </w:r>
      <w:r>
        <w:rPr>
          <w:rFonts w:ascii="Georgia" w:hAnsi="Georgia" w:cs="Arial"/>
          <w:b/>
        </w:rPr>
        <w:t>(b)</w:t>
      </w:r>
      <w:r>
        <w:rPr>
          <w:rFonts w:ascii="Georgia" w:hAnsi="Georgia" w:cs="Arial"/>
        </w:rPr>
        <w:t xml:space="preserve"> Presentación y  obtención de pronunciamiento respecto a consulta de pertinencia ingresada al Servicio de Evaluación Ambiental, que establezca que la modificación del proyecto no requiere ser evaluada ambientalmente. </w:t>
      </w:r>
      <w:r>
        <w:rPr>
          <w:rFonts w:ascii="Georgia" w:hAnsi="Georgia" w:cs="Arial"/>
          <w:b/>
        </w:rPr>
        <w:t>(c)</w:t>
      </w:r>
      <w:r>
        <w:rPr>
          <w:rFonts w:ascii="Georgia" w:hAnsi="Georgia" w:cs="Arial"/>
        </w:rPr>
        <w:t xml:space="preserve"> Para el evento en que el Servicio de Evaluación Ambiental decida que  la mayor generación de laminillas de plomo se trata de un cambio de consideración, ingresar éste al Sistema de Evaluación de Impacto Ambiental, con el objeto de obtener la correspondiente resolución de calificación ambiental favorable.</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b/>
        </w:rPr>
        <w:t xml:space="preserve">3. Observación del Sr. León: Incumplimiento N° 3: </w:t>
      </w:r>
      <w:r>
        <w:rPr>
          <w:rFonts w:ascii="Georgia" w:hAnsi="Georgia" w:cs="Arial"/>
        </w:rPr>
        <w:t>“</w:t>
      </w:r>
      <w:r>
        <w:rPr>
          <w:rFonts w:ascii="Georgia" w:hAnsi="Georgia" w:cs="Arial"/>
          <w:i/>
        </w:rPr>
        <w:t>No hay permiso de edificación para la bodega de 270 m2 para residuos peligrosos del 2011 mencionada por la Seremi de Salud y tampoco se detalla en la RCA correspondiente, ¿si no hay bodega recepcionada municipalmente como se comprueba su operación de almacenamiento de residuos peligrosos?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i/>
        </w:rPr>
        <w:t>En los documentos de trabajos por Ley de Transparencia tampoco se mencionan por lo tanto no existe comprobación de que esos trabajos se completaron”.</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4. Consideraciones sobre la observación: </w:t>
      </w:r>
      <w:r>
        <w:rPr>
          <w:rFonts w:ascii="Georgia" w:hAnsi="Georgia" w:cs="Arial"/>
        </w:rPr>
        <w:t xml:space="preserve">Es posible advertir que el Sr. León manifiesta aprensiones vinculadas con la acción 3.1 del PDC, en concreto, respecto al control de la operación del almacenamiento de residuos peligrosos, haciendo alusión a los permisos de edificación que podrían aplicar a la bodega a que se hace referencia en la Resolución N° 1.533/2011 de la Seremi de Salud de la Región de Valparaíso, cuestionando que no se ha acreditado la existencia de las obras necesarias para el almacenamiento de tal clase de residuos.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Sobre el particular, cabe señalar que el cargo formulado dice relación con generar una cantidad de laminilla de plomo mayor a la autorizada ambientalmente, que en nada se vincula con la existencia o no de un permiso de edificación (para el caso que sea procedente este último).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Es por dicha razón que  el PDC originalmente presentado se encuentra dirigido a establecer una acción que se haga cargo del reproche efectivamente formulado por </w:t>
      </w:r>
      <w:r>
        <w:rPr>
          <w:rFonts w:ascii="Georgia" w:hAnsi="Georgia" w:cs="Arial"/>
        </w:rPr>
        <w:lastRenderedPageBreak/>
        <w:t>la autoridad, y ello desde dos puntos de vista: primero, estableciendo el procedimiento para su manejo, el cual se conforma con el Plan autorizado por la autoridad sanitaria; y segundo, fijando la regularización de los permisos ambientales asociados a aquella mayor generación, bien sea contando con el pronunciamiento positivo del Servicio de Evaluación Ambiental (en adelante, “</w:t>
      </w:r>
      <w:r>
        <w:rPr>
          <w:rFonts w:ascii="Georgia" w:hAnsi="Georgia" w:cs="Arial"/>
          <w:u w:val="single"/>
        </w:rPr>
        <w:t>SEA</w:t>
      </w:r>
      <w:r>
        <w:rPr>
          <w:rFonts w:ascii="Georgia" w:hAnsi="Georgia" w:cs="Arial"/>
        </w:rPr>
        <w:t>”) en el cual se contemple que la modificación al proyecto no requería de ingreso al Sistema de Evaluación de Impacto Ambiental (en adelante, “</w:t>
      </w:r>
      <w:r>
        <w:rPr>
          <w:rFonts w:ascii="Georgia" w:hAnsi="Georgia" w:cs="Arial"/>
          <w:u w:val="single"/>
        </w:rPr>
        <w:t>SEIA</w:t>
      </w:r>
      <w:r>
        <w:rPr>
          <w:rFonts w:ascii="Georgia" w:hAnsi="Georgia" w:cs="Arial"/>
        </w:rPr>
        <w:t xml:space="preserve">”), bien ingresando al SEIA, en caso que el SEA concluya que la mayor generación de la laminilla de plomo se trata de un cambio de consideración.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De esta forma, es claro que las acciones y metas propuestas por el PDC originalmente presentado cumplen los criterios de aprobación requeridos, toda vez que gozan de la integridad, eficacia y verificabilidad que dispone el artículo 9° del Reglamento.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lang w:val="es-CL"/>
        </w:rPr>
      </w:pPr>
      <w:r>
        <w:rPr>
          <w:rFonts w:ascii="Georgia" w:hAnsi="Georgia" w:cs="Arial"/>
        </w:rPr>
        <w:t xml:space="preserve">Respecto al permiso de edificación de la bodega aludida, podemos agregar que esta cuenta con sus respectivos permisos de edificación y de recepción, cuyas copias se obtuvieron en un procedimiento de </w:t>
      </w:r>
      <w:r>
        <w:rPr>
          <w:rFonts w:ascii="Georgia" w:hAnsi="Georgia" w:cs="Arial"/>
          <w:lang w:val="es-CL"/>
        </w:rPr>
        <w:t xml:space="preserve">reconstitución de expedientes tramitado en la Dirección de Obras Municipales de Puchuncaví, conforme al art. 668 y siguientes del Código de Procedimiento Penal -relativos </w:t>
      </w:r>
      <w:r w:rsidR="008A3F08">
        <w:rPr>
          <w:rFonts w:ascii="Georgia" w:hAnsi="Georgia" w:cs="Arial"/>
          <w:lang w:val="es-CL"/>
        </w:rPr>
        <w:t>a la perdida de expedientes- y l</w:t>
      </w:r>
      <w:r>
        <w:rPr>
          <w:rFonts w:ascii="Georgia" w:hAnsi="Georgia" w:cs="Arial"/>
          <w:lang w:val="es-CL"/>
        </w:rPr>
        <w:t xml:space="preserve">ey </w:t>
      </w:r>
      <w:r w:rsidR="008A3F08">
        <w:rPr>
          <w:rFonts w:ascii="Georgia" w:hAnsi="Georgia" w:cs="Arial"/>
          <w:lang w:val="es-CL"/>
        </w:rPr>
        <w:t xml:space="preserve">N° </w:t>
      </w:r>
      <w:r>
        <w:rPr>
          <w:rFonts w:ascii="Georgia" w:hAnsi="Georgia" w:cs="Arial"/>
          <w:lang w:val="es-CL"/>
        </w:rPr>
        <w:t>16.665 sobre reconstitución de registros de conservadores de bienes raíces. Dan cuenta de los anterior, el Permiso de Edificación Nº 177  de fecha 31 de agosto del 2015 y el Certificado de recepción definitiva Nº 000592 de fecha 15 de febrero del 2016 y su enmienda según Res. Nº 055 de fecha 25 de abril del 2016, el primero en aplicación del art. 5.1.6 y el segundo en aplicación del art. 5.2.6, ambos del D.S. 47/92 Ordenanza General de Urbanismo y Construcciones</w:t>
      </w:r>
      <w:r w:rsidR="00BC614B">
        <w:rPr>
          <w:rFonts w:ascii="Georgia" w:hAnsi="Georgia" w:cs="Arial"/>
          <w:lang w:val="es-CL"/>
        </w:rPr>
        <w:t>,</w:t>
      </w:r>
      <w:r>
        <w:rPr>
          <w:rFonts w:ascii="Georgia" w:hAnsi="Georgia" w:cs="Arial"/>
          <w:lang w:val="es-CL"/>
        </w:rPr>
        <w:t xml:space="preserve"> cuyas copias acompañamos.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Todo lo expuesto es sin perjuicio de las incorporaciones y rectificaciones que ha efectuado Codelco sobre el PDC con esta fecha, dando cumplimento a lo requerido por la SMA en el resuelvo N° I letra B.10 y 11 de su Resolución Exenta N° 5/Rol-18-2016.</w:t>
      </w:r>
    </w:p>
    <w:p w:rsidR="00960096" w:rsidRDefault="00960096" w:rsidP="004D740D">
      <w:pPr>
        <w:pStyle w:val="Sangradetextonormal"/>
        <w:tabs>
          <w:tab w:val="left" w:pos="0"/>
        </w:tabs>
        <w:spacing w:after="100" w:afterAutospacing="1" w:line="360" w:lineRule="auto"/>
        <w:ind w:left="0" w:firstLine="709"/>
        <w:jc w:val="both"/>
        <w:rPr>
          <w:rFonts w:ascii="Georgia" w:hAnsi="Georgia" w:cs="Arial"/>
        </w:rPr>
      </w:pP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rPr>
        <w:lastRenderedPageBreak/>
        <w:t xml:space="preserve"> </w:t>
      </w:r>
      <w:r>
        <w:rPr>
          <w:rFonts w:ascii="Georgia" w:hAnsi="Georgia" w:cs="Arial"/>
          <w:b/>
        </w:rPr>
        <w:t>C) Observación vinculada con los hechos N° 5 de los cargos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lang w:val="es-CL"/>
        </w:rPr>
      </w:pPr>
      <w:r>
        <w:rPr>
          <w:rFonts w:ascii="Georgia" w:hAnsi="Georgia" w:cs="Arial"/>
          <w:b/>
        </w:rPr>
        <w:t xml:space="preserve">1. Hechos imputados por la SMA: </w:t>
      </w:r>
      <w:r>
        <w:rPr>
          <w:rFonts w:ascii="Georgia" w:hAnsi="Georgia" w:cs="Arial"/>
        </w:rPr>
        <w:t>No ejecutar el procedimiento de rescate de fauna silvestre, según se constata por la presencia de aves muertas en el Humedal Campiche, en inspección ambiental en mayo de 2013.</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2. Acción contemplada en el PDC originalmente presentado: (a) </w:t>
      </w:r>
      <w:r>
        <w:rPr>
          <w:rFonts w:ascii="Georgia" w:hAnsi="Georgia" w:cs="Arial"/>
        </w:rPr>
        <w:t>Realizar semestralmente monitoreo de fauna vertebrada en el Humedal Campiche.</w:t>
      </w:r>
      <w:r>
        <w:rPr>
          <w:rFonts w:ascii="Georgia" w:hAnsi="Georgia" w:cs="Arial"/>
          <w:b/>
        </w:rPr>
        <w:t xml:space="preserve"> (b) </w:t>
      </w:r>
      <w:r>
        <w:rPr>
          <w:rFonts w:ascii="Georgia" w:hAnsi="Georgia" w:cs="Arial"/>
        </w:rPr>
        <w:t>Capacitar al personal del área de  protección industrial sobre los alcances del Procedimiento de Rescate en caso de avistamiento  y/o presencia de algún animal silvestre en evidente peligro, o muerto, en el perímetro de las dependencias de Codelco-Ventanas.</w:t>
      </w:r>
      <w:r>
        <w:rPr>
          <w:rFonts w:ascii="Georgia" w:hAnsi="Georgia" w:cs="Arial"/>
          <w:b/>
        </w:rPr>
        <w:t xml:space="preserve"> (c) </w:t>
      </w:r>
      <w:r>
        <w:rPr>
          <w:rFonts w:ascii="Georgia" w:hAnsi="Georgia" w:cs="Arial"/>
        </w:rPr>
        <w:t>Capacitar al personal nuevo que se incorpore al área de  protección industrial sobre los alcances del Procedimiento de Rescate en caso de avistamiento  y/o presencia de algún animal silvestre en evidente peligro, o muerto, en el perímetro de las dependencias de Codelco-Ventanas.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3. Observación del Sr. León: Incumplimiento N° 5: </w:t>
      </w:r>
      <w:r>
        <w:rPr>
          <w:rFonts w:ascii="Georgia" w:hAnsi="Georgia" w:cs="Arial"/>
          <w:i/>
        </w:rPr>
        <w:t xml:space="preserve">“Tiempo de inicio de dos meses y frecuencia semestral es excesivo para la recolección, el Humedal Campiche es donde arrojaban o arrojan la escoria a altas temperaturas. Se solicita contratar empresa externa que realice monitoreo y que mande a analizar los animales muertos o muestra de ellos, para determinar causa de la muerte y cantidad de metales pesados en su cuerpo”. </w:t>
      </w:r>
      <w:r>
        <w:rPr>
          <w:rFonts w:ascii="Georgia" w:hAnsi="Georgia" w:cs="Arial"/>
          <w:b/>
        </w:rPr>
        <w:t xml:space="preserv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4. Consideraciones sobre la observación: </w:t>
      </w:r>
      <w:r>
        <w:rPr>
          <w:rFonts w:ascii="Georgia" w:hAnsi="Georgia" w:cs="Arial"/>
        </w:rPr>
        <w:t xml:space="preserve">El PDC tiene por objeto cumplir satisfactoriamente la normativa ambiental pertinente, y en este caso, dicen relación con las obligaciones asumidas en el marco de la RCA, en la cual se estableció un procedimiento de rescate de fauna silvestre.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Dicho ello, cabe aclarar que dicho procedimiento “</w:t>
      </w:r>
      <w:r>
        <w:rPr>
          <w:rFonts w:ascii="Georgia" w:hAnsi="Georgia" w:cs="Arial"/>
          <w:i/>
        </w:rPr>
        <w:t xml:space="preserve">se aplicará ante el avistamiento y/o presencia de algún animal silvestre en evidente peligro, o muerto, en el perímetro de las dependencias de Codelco-Ventanas, al interior, en la playa en el sector de la descarga de RILes a la bahía, en el mar cerca del emisario submarino y en la Laguna Campiche. El presente procedimiento no se aplicará a aquellos </w:t>
      </w:r>
      <w:r>
        <w:rPr>
          <w:rFonts w:ascii="Georgia" w:hAnsi="Georgia" w:cs="Arial"/>
          <w:i/>
        </w:rPr>
        <w:lastRenderedPageBreak/>
        <w:t>animales de tipo doméstico que se encuentren en estado de vagancia y especies silvestres fuera de peligro inminente</w:t>
      </w:r>
      <w:r>
        <w:rPr>
          <w:rFonts w:ascii="Georgia" w:hAnsi="Georgia" w:cs="Arial"/>
        </w:rPr>
        <w:t xml:space="preserv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Luego, el hecho de establecerse monitoreos semestrales en el PDC no viene sino a complementar y potenciar el sistema existente, a efectos de corregir posibles deficiencias y asegurar su correcta ejecución, motivo por el cual la aprensión planteada por el Sr. León pierde sustento, en cuanto Codelco mantendrá la aplicación del procedimiento, el que tendrá lugar, como hemos indicado, ante el </w:t>
      </w:r>
      <w:r>
        <w:rPr>
          <w:rFonts w:ascii="Georgia" w:hAnsi="Georgia" w:cs="Arial"/>
          <w:i/>
        </w:rPr>
        <w:t>“avistamiento y/o presencia de algún animal silvestre en evidente peligro, o muerto…</w:t>
      </w:r>
      <w:r>
        <w:rPr>
          <w:rFonts w:ascii="Georgia" w:hAnsi="Georgia" w:cs="Arial"/>
        </w:rPr>
        <w:t xml:space="preserve">”. </w:t>
      </w:r>
    </w:p>
    <w:p w:rsidR="004A77E3"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Por otro lado, es importante aclarar</w:t>
      </w:r>
      <w:r w:rsidR="00B11CD1">
        <w:rPr>
          <w:rFonts w:ascii="Georgia" w:hAnsi="Georgia" w:cs="Arial"/>
        </w:rPr>
        <w:t xml:space="preserve"> que </w:t>
      </w:r>
      <w:r>
        <w:rPr>
          <w:rFonts w:ascii="Georgia" w:hAnsi="Georgia" w:cs="Arial"/>
        </w:rPr>
        <w:t>las escorias son dispuestas en el depósito de escorias debidamente contemplado al efecto (Resolución N° 1.209, de fecha 18 de mayo de 2005, “Apruébese el “Proyecto de Regularización del Botadero de Escorias”, emitida por el Servicio Nacional de Geología y Minería</w:t>
      </w:r>
      <w:r w:rsidR="00B11CD1">
        <w:rPr>
          <w:rFonts w:ascii="Georgia" w:hAnsi="Georgia" w:cs="Arial"/>
        </w:rPr>
        <w:t xml:space="preserve"> y Resolución N°2258, de fecha 8 de junio de 2011, “Autorizase el Funcionamiento del Depósito de Escorias”, emitida por la Seremi de Salud Región de Valparaíso)</w:t>
      </w:r>
      <w:r>
        <w:rPr>
          <w:rFonts w:ascii="Georgia" w:hAnsi="Georgia" w:cs="Arial"/>
        </w:rPr>
        <w:t>.</w:t>
      </w:r>
      <w:r w:rsidR="00B11CD1">
        <w:rPr>
          <w:rFonts w:ascii="Georgia" w:hAnsi="Georgia" w:cs="Arial"/>
        </w:rPr>
        <w:t xml:space="preserve"> </w:t>
      </w:r>
    </w:p>
    <w:p w:rsidR="004D740D" w:rsidRDefault="00B11CD1"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A mayor abundamiento, es pertinente dar cuenta que desde la entrada en vigencia del PREMVAL Codelco hace uso parcial del depósito de escorias, en el sentido que sólo se están disponiendo los residuos en aquella sección del mismo que no se encuentra dentro del área de riesgo por inundación. </w:t>
      </w:r>
      <w:r w:rsidR="008A3F08">
        <w:rPr>
          <w:rFonts w:ascii="Georgia" w:hAnsi="Georgia" w:cs="Arial"/>
        </w:rPr>
        <w:t xml:space="preserve"> </w:t>
      </w:r>
    </w:p>
    <w:p w:rsidR="004D740D" w:rsidRDefault="008A3F08"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Por otro lado</w:t>
      </w:r>
      <w:r w:rsidR="004D740D">
        <w:rPr>
          <w:rFonts w:ascii="Georgia" w:hAnsi="Georgia" w:cs="Arial"/>
        </w:rPr>
        <w:t xml:space="preserve">, tal como requiere el Sr. León, los monitoreos semestrales serán efectuados por especialistas en la materia, los cuales serán terceros externos a Codelco.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Todo lo expuesto es sin perjuicio de las incorporaciones y rectificaciones que ha efectuado Codelco sobre el PDC con esta fecha, dando cumplimento a lo requerido por la SMA en el resuelvo N° I letra B.14, 15, 16 y 17 de su Resolución Exenta N° 5/Rol-18-2016.</w:t>
      </w:r>
    </w:p>
    <w:p w:rsidR="00960096" w:rsidRDefault="00960096" w:rsidP="004D740D">
      <w:pPr>
        <w:pStyle w:val="Sangradetextonormal"/>
        <w:tabs>
          <w:tab w:val="left" w:pos="0"/>
        </w:tabs>
        <w:spacing w:after="100" w:afterAutospacing="1" w:line="360" w:lineRule="auto"/>
        <w:ind w:left="0" w:firstLine="709"/>
        <w:jc w:val="both"/>
        <w:rPr>
          <w:rFonts w:ascii="Georgia" w:hAnsi="Georgia" w:cs="Arial"/>
        </w:rPr>
      </w:pP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lastRenderedPageBreak/>
        <w:t>D) Observación vinculada con los hechos N° 7 de los cargos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1. Hechos imputados por la SMA: </w:t>
      </w:r>
      <w:r>
        <w:rPr>
          <w:rFonts w:ascii="Georgia" w:hAnsi="Georgia" w:cs="Arial"/>
        </w:rPr>
        <w:t>Entregar sólo una vez al año el análisis de abundancia y concentración de cobre en el organismo intermareal Emerita análoga, durante los años 2013 y 2014.</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2. Acción contemplada en el PDC originalmente presentado: (a) </w:t>
      </w:r>
      <w:r>
        <w:rPr>
          <w:rFonts w:ascii="Georgia" w:hAnsi="Georgia" w:cs="Arial"/>
        </w:rPr>
        <w:t xml:space="preserve">Enviar a través de carta a la SMA, informes de monitoreo semestral de los parámetros de abundancia y concentración de cobre en Emerita análoga como parte del Plan de Vigilancia Ambiental de la Bahía de Quintero, realizados durante el año 2015. </w:t>
      </w:r>
      <w:r>
        <w:rPr>
          <w:rFonts w:ascii="Georgia" w:hAnsi="Georgia" w:cs="Arial"/>
          <w:b/>
        </w:rPr>
        <w:t xml:space="preserve">(b) </w:t>
      </w:r>
      <w:r>
        <w:rPr>
          <w:rFonts w:ascii="Georgia" w:hAnsi="Georgia" w:cs="Arial"/>
        </w:rPr>
        <w:t>Realizar trimestralmente (marzo-junio-septiembre-diciembre) el monitoreo que a la fecha está comprometido en forma semestral, de los parámetros de abundancia y concentración de cobre en Emerita análoga.</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b/>
        </w:rPr>
        <w:t xml:space="preserve">3. Observación del Sr. León: Incumplimiento N° 7: </w:t>
      </w:r>
      <w:r>
        <w:rPr>
          <w:rFonts w:ascii="Georgia" w:hAnsi="Georgia" w:cs="Arial"/>
          <w:i/>
        </w:rPr>
        <w:t xml:space="preserve">“Se solicita que muestras sean hechas por laboratorios terceros independientes”.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4. Consideraciones sobre la observación: </w:t>
      </w:r>
      <w:r>
        <w:rPr>
          <w:rFonts w:ascii="Georgia" w:hAnsi="Georgia" w:cs="Arial"/>
        </w:rPr>
        <w:t xml:space="preserve">Es necesario tener presente que la observación formulada por el Sr. León no guarda relación alguna con los hechos que sirvieron de antecedente al cargo, por cuanto estos se basan en haber remitido informes anualmente, cuando su carácter era semestral.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Así, pues, la solicitud del denunciante no es pertinente con el sentido y alcance del PDC originalmente presentado, y por lo demás no posee asidero alguno, sino que se basa en una desconfianza infundada en las muestras y análisis que pueda desarrollar Codelco, sin expresar ni aportar antecedentes técnicos que las desacrediten o controviertan. </w:t>
      </w:r>
    </w:p>
    <w:p w:rsidR="00B11CD1" w:rsidRDefault="00B11CD1" w:rsidP="00B11CD1">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No obstante lo anterior, igualmente cabe aclarar que, tal como lo requiere el denunciante, aquel trabajo técnico de toma de muestras en el marco del cumplimiento del Plan de Descontaminación del Complejo Industrial Ventanas, ha sido siempre desarrollado por un laboratorio externo a Codelco, lo que naturalmente implica y </w:t>
      </w:r>
      <w:r>
        <w:rPr>
          <w:rFonts w:ascii="Georgia" w:hAnsi="Georgia" w:cs="Arial"/>
        </w:rPr>
        <w:lastRenderedPageBreak/>
        <w:t>garantiza que Codelco no ha modificado – o adulterado, como parece insinuar el Sr. León Cabrera – los resultados de tales actividades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Todo lo expuesto es sin perjuicio de las incorporaciones y rectificaciones que </w:t>
      </w:r>
      <w:r w:rsidR="00B11CD1">
        <w:rPr>
          <w:rFonts w:ascii="Georgia" w:hAnsi="Georgia" w:cs="Arial"/>
        </w:rPr>
        <w:t xml:space="preserve">Codelco </w:t>
      </w:r>
      <w:r>
        <w:rPr>
          <w:rFonts w:ascii="Georgia" w:hAnsi="Georgia" w:cs="Arial"/>
        </w:rPr>
        <w:t>ha efectuado sobre el PDC con esta fecha, dando cumplimento a lo requerido por la SMA en el resuelvo N° I letra B.21 y 22 de su Resolución Exenta N° 5/Rol-18-2016.</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E) Observación vinculada con los hechos N° 10 de los cargos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1. Hechos imputados por la SMA: </w:t>
      </w:r>
      <w:r>
        <w:rPr>
          <w:rFonts w:ascii="Georgia" w:hAnsi="Georgia" w:cs="Arial"/>
        </w:rPr>
        <w:t>El muestreo de granulometría en sedimentos, incluido en los informes del Programa de Vigilancia Ambiental de la Bahía de Quintero fue efectuado por una entidad sin acreditación y/o autorización vigente para tales efectos.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2. Acción contemplada en el PDC originalmente presentado: </w:t>
      </w:r>
      <w:r>
        <w:rPr>
          <w:rFonts w:ascii="Georgia" w:hAnsi="Georgia" w:cs="Arial"/>
        </w:rPr>
        <w:t>Realizar trimestralmente (marzo-junio-septiembre-diciembre) análisis de  granulometría en sedimentos marinos.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b/>
        </w:rPr>
        <w:t xml:space="preserve">3. Observación del Sr. León: Incumplimiento N° 10: </w:t>
      </w:r>
      <w:r>
        <w:rPr>
          <w:rFonts w:ascii="Georgia" w:hAnsi="Georgia" w:cs="Arial"/>
          <w:i/>
        </w:rPr>
        <w:t>“El muestro propuesto de sedimentos marinos debe ser realizado por una empresa independiente y Codelco no debe tener acceso a las muestras ni saber las fechas en que se harán.</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Salvo días puntuales, la explicación meteorológica no está lo suficientemente justificada y no debería retrasar la obtención de muestras.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 xml:space="preserve">La bahía ha sufrido un fuerte aumento en su contaminación de metales pesados…los programas de muestreo de sedimentos llevado en forma correcta podrían entregar importante información”.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4. Consideraciones sobre la observación: </w:t>
      </w:r>
      <w:r>
        <w:rPr>
          <w:rFonts w:ascii="Georgia" w:hAnsi="Georgia" w:cs="Arial"/>
        </w:rPr>
        <w:t xml:space="preserve">Tal como se aprecia del cargo formulado, el referido muestreo fue realizado por un laboratorio independiente, centrándose la imputación en que tal entidad no contaba con la acreditación vigente </w:t>
      </w:r>
      <w:r>
        <w:rPr>
          <w:rFonts w:ascii="Georgia" w:hAnsi="Georgia" w:cs="Arial"/>
        </w:rPr>
        <w:lastRenderedPageBreak/>
        <w:t xml:space="preserve">que requiere la Instrucción General sancionada mediante la resolución exenta N° 37, de 2013, de la SMA, motivo por el cual el requerimiento del Sr. León Cabrera se ha encontrado desde siempre satisfecho.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Ahora bien, tal como indica el denunciante, la alusión a los factores meteorológicos no fue debidamente justificada en el PDC originalmente presentado. A su vez, considerando también que existe un espacio temporal amplio, como lo es un trimestre para desarrollar el trabajo de muestras, la ocurrencia de determinados episodios climáticos no será impedimento para la ejecución del compromiso asumido en el Programa.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Todo lo expuesto es sin perjuicio de las incorporaciones y rectificaciones que ha efectuado Codelco sobre el PDC con esta fecha, dando cumplimento a lo requerido por la SMA en el resuelvo N° I letra B.32 y 33 de su Resolución Exenta N° 5/Rol-18-2016.</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F) Observación vinculada con los hechos N° 11 de los cargos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1. Hechos imputados por la SMA: </w:t>
      </w:r>
      <w:r>
        <w:rPr>
          <w:rFonts w:ascii="Georgia" w:hAnsi="Georgia" w:cs="Arial"/>
        </w:rPr>
        <w:t>No se acreditó la certificación de los laboratorios que realizaron el muestreo y análisis para determinar las emisiones de azufre en los informes mensuales remitidos en el marco del Plan de Descontaminación del Complejo Industrial Ventanas.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2. Acción contemplada en el PDC originalmente presentado: (a) </w:t>
      </w:r>
      <w:r>
        <w:rPr>
          <w:rFonts w:ascii="Georgia" w:hAnsi="Georgia" w:cs="Arial"/>
        </w:rPr>
        <w:t xml:space="preserve">Contratar los servicios de muestreos, en el cual se solicitará que las muestras realizadas para el balance metalúrgico sean preparadas por Organismo de Inspección acreditada bajo  ISO 17020. </w:t>
      </w:r>
      <w:r>
        <w:rPr>
          <w:rFonts w:ascii="Georgia" w:hAnsi="Georgia" w:cs="Arial"/>
          <w:b/>
        </w:rPr>
        <w:t xml:space="preserve">(b) </w:t>
      </w:r>
      <w:r>
        <w:rPr>
          <w:rFonts w:ascii="Georgia" w:hAnsi="Georgia" w:cs="Arial"/>
        </w:rPr>
        <w:t xml:space="preserve">Demostrar el inicio del proceso de acreditación por parte de la empresa adjudicada. </w:t>
      </w:r>
      <w:r>
        <w:rPr>
          <w:rFonts w:ascii="Georgia" w:hAnsi="Georgia" w:cs="Arial"/>
          <w:b/>
        </w:rPr>
        <w:t xml:space="preserve">(c) </w:t>
      </w:r>
      <w:r>
        <w:rPr>
          <w:rFonts w:ascii="Georgia" w:hAnsi="Georgia" w:cs="Arial"/>
        </w:rPr>
        <w:t>Realizar los  análisis químicos de As y S para todas las muestras necesarias del balance metalúrgico en un solo laboratorio Acreditado en ISO 17025.</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b/>
        </w:rPr>
        <w:t xml:space="preserve">3. Observación del Sr. León: Incumplimiento N° 11: </w:t>
      </w:r>
      <w:r>
        <w:rPr>
          <w:rFonts w:ascii="Georgia" w:hAnsi="Georgia" w:cs="Arial"/>
          <w:i/>
        </w:rPr>
        <w:t xml:space="preserve">“11.1. Insuficiente PDC: Hay 1008 procesos acreditados en el INN, por lo que se puede iniciar </w:t>
      </w:r>
      <w:r>
        <w:rPr>
          <w:rFonts w:ascii="Georgia" w:hAnsi="Georgia" w:cs="Arial"/>
          <w:i/>
        </w:rPr>
        <w:lastRenderedPageBreak/>
        <w:t>inmediatamente con algún laboratorio que cumpla con las normas más afines no relacionado con Codelco, mientras se llega a la norma más actualizada.</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 Se solicita que el muestro debe ser hecho por terceros independientes. Codelco Ventanas no debe tener acceso a modificar esas muestras en tiempo y espacio físico, esto no se ha hecho por 50 años y ha permitido que sea la misma empresa la que genera sus estadísticas.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11.3. Insuficiente PDC: Muestreo de Arsénico y Azufre. Hay 1008 procesos acreditados en el INN, por lo que se puede iniciar con alguno de los laboratorios con normas afines, mientras la norma sea actualizada.</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 Se solicita que el muestro debe ser hecho por terceros independientes. Codelco Ventanas no debe tener acceso a modificar esas muestras en tiempo y espacio físico.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 Los resultados deberían ser entregados directamente por el laboratorio a la SMA”</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4. Consideraciones sobre la observación: </w:t>
      </w:r>
      <w:r>
        <w:rPr>
          <w:rFonts w:ascii="Georgia" w:hAnsi="Georgia" w:cs="Arial"/>
        </w:rPr>
        <w:t>En relación a lo planteado por el Sr. León Cabrera, tanto para la acción 11.1 como para la 11.3,  cabe señalar que lo hecho por Codelco, incluso antes de la elaboración del PDC originalmente presentado, apunta precisamente en la dirección que él reclama, pues aun cuando no existe un laboratorio externo acreditado para realizar los análisis necesarios para determinar las emisiones de azufre (lo que ha impedido satisfacer los estándares fijados por la Instrucción General sancionada mediante resolución exenta N° 37, de 2013, de la SMA), Codelco igualmente ha procurado desarrollar adecuadamente las mediciones que contempla el Plan de Descontaminación del Complejo Industrial Ventanas.</w:t>
      </w:r>
    </w:p>
    <w:p w:rsidR="00D245B2"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Se debe señalar sobre el particular, que la acreditación que otorga el INN no es genérica, sino que por el contrario se otorga a un laboratorio para alcances específicos. Atendido lo anterior y a que el Sr. León no señala a qué </w:t>
      </w:r>
      <w:r>
        <w:rPr>
          <w:rFonts w:ascii="Georgia" w:hAnsi="Georgia" w:cs="Arial"/>
          <w:i/>
        </w:rPr>
        <w:t xml:space="preserve">“procesos </w:t>
      </w:r>
      <w:r>
        <w:rPr>
          <w:rFonts w:ascii="Georgia" w:hAnsi="Georgia" w:cs="Arial"/>
          <w:i/>
        </w:rPr>
        <w:lastRenderedPageBreak/>
        <w:t>acreditados”</w:t>
      </w:r>
      <w:r>
        <w:rPr>
          <w:rFonts w:ascii="Georgia" w:hAnsi="Georgia" w:cs="Arial"/>
        </w:rPr>
        <w:t xml:space="preserve"> específicamente se refiere, no nos es posible responder de manera más precisa y detallada a su observación.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De todas forma</w:t>
      </w:r>
      <w:r w:rsidR="00D245B2">
        <w:rPr>
          <w:rFonts w:ascii="Georgia" w:hAnsi="Georgia" w:cs="Arial"/>
        </w:rPr>
        <w:t>s</w:t>
      </w:r>
      <w:r>
        <w:rPr>
          <w:rFonts w:ascii="Georgia" w:hAnsi="Georgia" w:cs="Arial"/>
        </w:rPr>
        <w:t xml:space="preserve">, sí es claro que no podrían utilizarse laboratorios con </w:t>
      </w:r>
      <w:r>
        <w:rPr>
          <w:rFonts w:ascii="Georgia" w:hAnsi="Georgia" w:cs="Arial"/>
          <w:i/>
        </w:rPr>
        <w:t>“normas afines”,</w:t>
      </w:r>
      <w:r>
        <w:rPr>
          <w:rFonts w:ascii="Georgia" w:hAnsi="Georgia" w:cs="Arial"/>
        </w:rPr>
        <w:t xml:space="preserve"> como sugiere el denunciante, si ellos no se encuentran acreditados en el alcan</w:t>
      </w:r>
      <w:r w:rsidR="00D245B2">
        <w:rPr>
          <w:rFonts w:ascii="Georgia" w:hAnsi="Georgia" w:cs="Arial"/>
        </w:rPr>
        <w:t>ce específico requerido, por cua</w:t>
      </w:r>
      <w:r>
        <w:rPr>
          <w:rFonts w:ascii="Georgia" w:hAnsi="Georgia" w:cs="Arial"/>
        </w:rPr>
        <w:t>nto sus resultados no serían válidos conforme lo señalado en las Resoluciones de la Superintendencia del Medio Ambiente dictadas al efecto, al no poder acreditarse la idoneidad de laboratorio para realizarlos.</w:t>
      </w:r>
    </w:p>
    <w:p w:rsidR="00B11CD1" w:rsidRDefault="00D245B2" w:rsidP="00B11CD1">
      <w:pPr>
        <w:spacing w:after="100" w:afterAutospacing="1" w:line="360" w:lineRule="auto"/>
        <w:ind w:firstLine="709"/>
        <w:jc w:val="both"/>
        <w:rPr>
          <w:rFonts w:ascii="Georgia" w:eastAsia="Cambria" w:hAnsi="Georgia" w:cs="Times"/>
          <w:lang w:val="es-ES_tradnl" w:eastAsia="es-ES_tradnl"/>
        </w:rPr>
      </w:pPr>
      <w:r>
        <w:rPr>
          <w:rFonts w:ascii="Georgia" w:hAnsi="Georgia" w:cs="Arial"/>
        </w:rPr>
        <w:t>En relación con lo anterior</w:t>
      </w:r>
      <w:r w:rsidR="004D740D">
        <w:rPr>
          <w:rFonts w:ascii="Georgia" w:hAnsi="Georgia" w:cs="Arial"/>
        </w:rPr>
        <w:t>,</w:t>
      </w:r>
      <w:r w:rsidR="00B11CD1">
        <w:rPr>
          <w:rFonts w:ascii="Georgia" w:hAnsi="Georgia" w:cs="Arial"/>
        </w:rPr>
        <w:t xml:space="preserve"> </w:t>
      </w:r>
      <w:r w:rsidR="00B11CD1">
        <w:rPr>
          <w:rFonts w:ascii="Georgia" w:eastAsia="Cambria" w:hAnsi="Georgia" w:cs="Times"/>
          <w:lang w:val="es-ES_tradnl" w:eastAsia="es-ES_tradnl"/>
        </w:rPr>
        <w:t xml:space="preserve">cabe señalar que la metodología del balance de arsénico y azufre de la Fundición Ventanas, se encuentra aprobada por la misma SMA mediante Resolución Exenta N° 1204, de 23 de diciembre de 2015. En esta metodología se explica la forma en que se realiza el balance para determinar las emisiones de Azufre de la fundición (en cumplimiento a lo establecido en el D.S. N° 28/2013 del Ministerio del Medio Ambiente), y en la cual se transparentan muestreos y análisis químicos que están comprometidos. </w:t>
      </w:r>
    </w:p>
    <w:p w:rsidR="00B11CD1" w:rsidRDefault="00B11CD1" w:rsidP="00B11CD1">
      <w:pPr>
        <w:pStyle w:val="Sangradetextonormal"/>
        <w:tabs>
          <w:tab w:val="left" w:pos="0"/>
        </w:tabs>
        <w:spacing w:after="100" w:afterAutospacing="1" w:line="360" w:lineRule="auto"/>
        <w:ind w:left="0" w:firstLine="709"/>
        <w:jc w:val="both"/>
        <w:rPr>
          <w:rFonts w:ascii="Georgia" w:hAnsi="Georgia" w:cs="Arial"/>
        </w:rPr>
      </w:pPr>
      <w:r>
        <w:rPr>
          <w:rFonts w:ascii="Georgia" w:eastAsia="Cambria" w:hAnsi="Georgia" w:cs="Times"/>
          <w:lang w:val="es-ES_tradnl" w:eastAsia="es-ES_tradnl"/>
        </w:rPr>
        <w:t>En razón de ello, a nuestro juicio, la aprobación por parte de la Superintendencia de la metodología específica para la determinación de las emisiones de Azufre de la fundición, garantiza su idoneidad, motivo por el cual la observación parece carecer, tanto de fundamento, como también de objeto.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Todo lo expuesto es sin perjuicio de las aclaraciones, incorporaciones y rectificaciones que ha efectuado Codelco sobre el PDC con esta fecha, pronunciándonos sobre lo requerido por la SMA en el resuelvo N° I letra B.34, 35, 36, 37, 38 y 39 de su Resolución Exenta N° 5/Rol-18-2016.</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G) Observación vinculada con los hechos N° 12 de los cargos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1. Hechos imputados por la SMA: </w:t>
      </w:r>
      <w:r>
        <w:rPr>
          <w:rFonts w:ascii="Georgia" w:hAnsi="Georgia" w:cs="Arial"/>
        </w:rPr>
        <w:t>Entrega de información inconsistente respecto de la generación de residuos en repuestas a requerimientos de información, la que a su vez es inconsistente con datos reportados en otras instancias, tales como reportes de sustentabilidad.</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lastRenderedPageBreak/>
        <w:t xml:space="preserve">2. Acción contemplada en el PDC originalmente presentado: </w:t>
      </w:r>
      <w:r>
        <w:rPr>
          <w:rFonts w:ascii="Georgia" w:hAnsi="Georgia" w:cs="Arial"/>
        </w:rPr>
        <w:t>Establecer un protocolo que determine la forma en que se debe generar la información en materia de residuos y que permita la revisión documental, que permita verificar que la información que se enviará es concordante con la información restante que pueda generar la División Ventanas.</w:t>
      </w:r>
      <w:r>
        <w:rPr>
          <w:rFonts w:ascii="Georgia" w:hAnsi="Georgia" w:cs="Arial"/>
          <w:b/>
        </w:rPr>
        <w:t xml:space="preserv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b/>
        </w:rPr>
        <w:t xml:space="preserve">3. Observación del Sr. León: Incumplimiento N° 2: </w:t>
      </w:r>
      <w:r>
        <w:rPr>
          <w:rFonts w:ascii="Georgia" w:hAnsi="Georgia" w:cs="Arial"/>
        </w:rPr>
        <w:t>“</w:t>
      </w:r>
      <w:r>
        <w:rPr>
          <w:rFonts w:ascii="Georgia" w:hAnsi="Georgia" w:cs="Arial"/>
          <w:i/>
        </w:rPr>
        <w:t>La información de residuos debe contener las cantidades, fechas y lugares donde se vertieron.</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El vertimiento de residuos peligrosos es fuente de gases fugitivos y además pueden contaminar las aguas superficiales o subterráneas. El no contar con los lugares apropiados para verter enormes cantidades de residuos a altas temperaturas y peligrosos pone en riesgo a la población y al medio ambiente.</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El Plan Regulador Metropolitano de Valparaíso (PREMVAL) aprobado en Abril de 2014 (DO) quedó explícitamente expuesto que Codelco Ventanas arrojaba su escoria en la zona de inundación del Humedal Campiche, lo cual contamina las aguas superficiales y subterráneas de un humedal que está protegido.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i/>
        </w:rPr>
        <w:t>Se solicita demarcar claramente los lugares donde están arrojando la escoria, actualmente hay una gran cantidad de escoria en el sector de inundación del Humedal, es un sector que debe ser recuperado ambientalmente.</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i/>
        </w:rPr>
        <w:t>Los gases fugitivos en el vertimiento de la escoria por la predominancia de viento sur provocan peaks de SO2 en La Greda, se debe estudiar opción de cierre de lugares de acopio</w:t>
      </w:r>
      <w:r>
        <w:rPr>
          <w:rFonts w:ascii="Georgia" w:hAnsi="Georgia" w:cs="Arial"/>
        </w:rPr>
        <w:t xml:space="preserv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4. Consideraciones sobre la observación: </w:t>
      </w:r>
      <w:r>
        <w:rPr>
          <w:rFonts w:ascii="Georgia" w:hAnsi="Georgia" w:cs="Arial"/>
        </w:rPr>
        <w:t>Sobre el particular, es claro que el Sr. León no formula su análisis en relación a la naturaleza del cargo imputado por la SMA, como tampoco al contenido o alcance de PDC originalmente presentado, refiriéndose a materias no relacionadas con el mismo.</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lastRenderedPageBreak/>
        <w:t>De esta forma, es pertinente recordar que el cargo se basa en una infracción al artículo 35 letra j) de la LOSMA, que sanciona los incumplimientos a los requerimientos de información que la SMA dirija a los sujetos fiscalizados, toda vez que la entidad de control imputó inconsistencias entre los antecedentes entregados en el respuesta a su resolución exenta N° 398, de 2015, y otros datos, como los que se encuentran en los reportes de sustentabilidad.</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Enseguida, cabe agregar que bajo el sólo expediente de revisar el tenor de la referida resolución N° 398, es posible señalar que los 3 elementos solicitados por el denunciante se encuentran debidamente contemplados, toda vez que la SMA requirió precisamente que se informara de los residuos generados en el Complejo Fundición y Refinería Ventanas, “</w:t>
      </w:r>
      <w:r>
        <w:rPr>
          <w:rFonts w:ascii="Georgia" w:hAnsi="Georgia" w:cs="Arial"/>
          <w:i/>
        </w:rPr>
        <w:t>detallando la generación y disposición final de cada uno de éstos, en toneladas anuales, respecto de los años 2005, 2006, 2007, 2008, 2009, 2010, 2011, 2012, 2013 y 2014</w:t>
      </w:r>
      <w:r>
        <w:rPr>
          <w:rFonts w:ascii="Georgia" w:hAnsi="Georgia" w:cs="Arial"/>
        </w:rPr>
        <w:t>”, y precisamente en ese tenor se elaboró la respuesta que consta en este expediente administrativo.</w:t>
      </w:r>
    </w:p>
    <w:p w:rsidR="00EC4BDB" w:rsidRDefault="004D740D" w:rsidP="004D740D">
      <w:pPr>
        <w:spacing w:after="100" w:afterAutospacing="1" w:line="360" w:lineRule="auto"/>
        <w:ind w:firstLine="709"/>
        <w:jc w:val="both"/>
        <w:rPr>
          <w:rFonts w:ascii="Georgia" w:hAnsi="Georgia" w:cs="Arial"/>
        </w:rPr>
      </w:pPr>
      <w:r>
        <w:rPr>
          <w:rFonts w:ascii="Georgia" w:hAnsi="Georgia" w:cs="Arial"/>
        </w:rPr>
        <w:t xml:space="preserve">En último lugar, aun cuando no es una materia que se relacione con los cargos formulados, y mucho menos con el PDC, es menester señalar que no es efectivo lo señalado por el denunciante, en cuanto a que Codelco se encuentre vertiendo residuos peligrosos a altas temperaturas en lugares no habilitados. </w:t>
      </w:r>
    </w:p>
    <w:p w:rsidR="004D740D" w:rsidRDefault="004D740D" w:rsidP="004D740D">
      <w:pPr>
        <w:spacing w:after="100" w:afterAutospacing="1" w:line="360" w:lineRule="auto"/>
        <w:ind w:firstLine="709"/>
        <w:jc w:val="both"/>
        <w:rPr>
          <w:rFonts w:ascii="Arial" w:hAnsi="Arial"/>
          <w:szCs w:val="20"/>
        </w:rPr>
      </w:pPr>
      <w:r>
        <w:rPr>
          <w:rFonts w:ascii="Georgia" w:hAnsi="Georgia" w:cs="Arial"/>
        </w:rPr>
        <w:t xml:space="preserve">Todos los residuos peligrosos de la División son enviados a sititos de disposición autorizados, conforme lo establece el Plan de Manejo de Residuos Peligrosos de la División, aprobado mediante Resolución N°894 del 15 de abril del 2005 y sus respectivas actualizaciones, siendo la última actualización aprobada mediante el </w:t>
      </w:r>
      <w:r>
        <w:rPr>
          <w:rFonts w:ascii="Georgia" w:hAnsi="Georgia"/>
          <w:szCs w:val="20"/>
        </w:rPr>
        <w:t xml:space="preserve">ORD. N° 0616 del 03 de noviembre de 2014, emitido por la Seremi de Salud de la Región de Valparaíso, el cual aprueba la versión N° 02 del Plan de Manejo de Residuos Peligrosos para la instalación Fundición y Refinería Ventanas código de identificación R05-G-00001. </w:t>
      </w:r>
    </w:p>
    <w:p w:rsidR="00D245B2"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lastRenderedPageBreak/>
        <w:t xml:space="preserve">Además se debe señalar que los hechos expuestos por el denunciante en este punto no poseen asidero en la realidad, ya que invoca erradamente el tenor y alcance del actual PREMVAL. </w:t>
      </w:r>
    </w:p>
    <w:p w:rsidR="00D245B2"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Primero, </w:t>
      </w:r>
      <w:r w:rsidR="00D245B2">
        <w:rPr>
          <w:rFonts w:ascii="Georgia" w:hAnsi="Georgia" w:cs="Arial"/>
        </w:rPr>
        <w:t>pues</w:t>
      </w:r>
      <w:r>
        <w:rPr>
          <w:rFonts w:ascii="Georgia" w:hAnsi="Georgia" w:cs="Arial"/>
        </w:rPr>
        <w:t xml:space="preserve"> Codelco dispone de los residuos que genera su operación sólo en los lugares correctamente emplazados, </w:t>
      </w:r>
      <w:r w:rsidR="00E624D2">
        <w:rPr>
          <w:rFonts w:ascii="Georgia" w:hAnsi="Georgia" w:cs="Arial"/>
        </w:rPr>
        <w:t xml:space="preserve">debidamente </w:t>
      </w:r>
      <w:r>
        <w:rPr>
          <w:rFonts w:ascii="Georgia" w:hAnsi="Georgia" w:cs="Arial"/>
        </w:rPr>
        <w:t xml:space="preserve">autorizados para tales efectos (pudiendo darse cuenta nuevamente de la Resolución N° 1.209, de fecha 18 de mayo de 2005, “Apruébese el “Proyecto de Regularización del Botadero de Escorias”, emitida por el Servicio Nacional de Geología y Minería) y en la Resolución N°2258, de fecha 8 de junio de 2011, </w:t>
      </w:r>
      <w:r w:rsidR="00EC4BDB">
        <w:rPr>
          <w:rFonts w:ascii="Georgia" w:hAnsi="Georgia" w:cs="Arial"/>
        </w:rPr>
        <w:t>(</w:t>
      </w:r>
      <w:r>
        <w:rPr>
          <w:rFonts w:ascii="Georgia" w:hAnsi="Georgia" w:cs="Arial"/>
        </w:rPr>
        <w:t>“Autorizase el Funcionamiento del Depósito de Escorias”, emitida por la Seremi de Salud Región de Valparaíso</w:t>
      </w:r>
      <w:r w:rsidR="00EC4BDB">
        <w:rPr>
          <w:rFonts w:ascii="Georgia" w:hAnsi="Georgia" w:cs="Arial"/>
        </w:rPr>
        <w:t>)</w:t>
      </w:r>
      <w:r>
        <w:rPr>
          <w:rFonts w:ascii="Georgia" w:hAnsi="Georgia" w:cs="Arial"/>
        </w:rPr>
        <w:t xml:space="preserv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Tampoco es efectivo que aquel depósito de escorias (que funciona desde el año 1964) esté disponiendo residuos de manera tal que se contamine agu</w:t>
      </w:r>
      <w:r w:rsidR="00B11CD1">
        <w:rPr>
          <w:rFonts w:ascii="Georgia" w:hAnsi="Georgia" w:cs="Arial"/>
        </w:rPr>
        <w:t xml:space="preserve">as superficiales o subterráneas. Sobre el particular, damos por </w:t>
      </w:r>
      <w:r w:rsidR="00B11CD1" w:rsidRPr="00B11CD1">
        <w:rPr>
          <w:rFonts w:ascii="Georgia" w:hAnsi="Georgia" w:cs="Arial"/>
        </w:rPr>
        <w:t>reproducido lo señalado anteriormente sobre la materia</w:t>
      </w:r>
      <w:r w:rsidR="00B11CD1">
        <w:rPr>
          <w:rFonts w:ascii="Georgia" w:hAnsi="Georgia" w:cs="Arial"/>
        </w:rPr>
        <w:t>, y agregamos</w:t>
      </w:r>
      <w:r w:rsidR="002B3AB0" w:rsidRPr="00B11CD1">
        <w:rPr>
          <w:rFonts w:ascii="Georgia" w:hAnsi="Georgia" w:cs="Arial"/>
        </w:rPr>
        <w:t xml:space="preserve"> </w:t>
      </w:r>
      <w:r w:rsidRPr="00B11CD1">
        <w:rPr>
          <w:rFonts w:ascii="Georgia" w:hAnsi="Georgia" w:cs="Arial"/>
        </w:rPr>
        <w:t xml:space="preserve"> que debe tenerse presente que, a diferencia de lo que postula el Sr. León, el PREMVAL declaró que una sección del mismo se encuentra dentro de un área de riesgo por inundación en atención a la presencia de parte del Estero Puchuncaví, lo que en ningún caso implica que se estén disponiendo escorias en aguas superficiales o subterráneas del Humedal Campiche.</w:t>
      </w:r>
      <w:r>
        <w:rPr>
          <w:rFonts w:ascii="Georgia" w:hAnsi="Georgia" w:cs="Arial"/>
        </w:rPr>
        <w:t xml:space="preserv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Todo lo expuesto, sin perjuicio de las aclaraciones, incorporaciones y rectificaciones que ha efectuado Codelco sobre el PDC con esta fecha, pronunciándonos sobre lo requerido por la SMA en el resuelvo N° I letra B.40 y 41 de su Resolución Exenta N° 5/Rol-18-2016.</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H) Observación vinculada con los hechos N° 13 de los cargos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1. Hechos imputados por la SMA: </w:t>
      </w:r>
      <w:r>
        <w:rPr>
          <w:rFonts w:ascii="Georgia" w:hAnsi="Georgia" w:cs="Arial"/>
        </w:rPr>
        <w:t>No entregar información en los términos prescritos en la Res. Ex. N°319 de abril de 2015 de la Superintendencia del Medio Ambiente, al no incluir los informes del laboratorio que realizó las mediciones.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lastRenderedPageBreak/>
        <w:t xml:space="preserve">2. Acción contemplada en el PDC originalmente presentado: </w:t>
      </w:r>
      <w:r>
        <w:rPr>
          <w:rFonts w:ascii="Georgia" w:hAnsi="Georgia" w:cs="Arial"/>
        </w:rPr>
        <w:t>Entregar  a la SMA los informes del laboratorio de los años  2013 y 2014, como anexo de los informes de monitoreo isocinético de material particulado, los cuales se realizan como medida de cumplimiento del compromiso adquirido en el marco del plan de descontaminación vigente.</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i/>
        </w:rPr>
      </w:pPr>
      <w:r>
        <w:rPr>
          <w:rFonts w:ascii="Georgia" w:hAnsi="Georgia" w:cs="Arial"/>
          <w:b/>
        </w:rPr>
        <w:t xml:space="preserve">3. Observación del Sr. León: Incumplimiento N° 13: </w:t>
      </w:r>
      <w:r>
        <w:rPr>
          <w:rFonts w:ascii="Georgia" w:hAnsi="Georgia" w:cs="Arial"/>
          <w:i/>
        </w:rPr>
        <w:t xml:space="preserve">“Se solicita usar laboratorios independientes e incorporar datos de la metodología. Validar que la información anterior al 2013 se encuentre disponible”. </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4. Consideraciones sobre la observación: </w:t>
      </w:r>
      <w:r>
        <w:rPr>
          <w:rFonts w:ascii="Georgia" w:hAnsi="Georgia" w:cs="Arial"/>
        </w:rPr>
        <w:t>Nuevamente es necesario señalar que el Sr. León no formula su análisis en relación a la naturaleza del cargo imputado por la SMA, como tampoco al contenido o alcance de PDC.</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De esta forma, reiteramos que el cargo que motiva esta sección del PDC originalmente presentado también se basó en una infracción al artículo 35 letra j) de la LOSMA, que sanciona los incumplimientos a los requerimientos de información que la SMA dirija a los sujetos fiscalizados, toda vez que la entidad de control imputó que no se cumplió cabalmente lo dispuesto por su resolución exenta N° 398, de 2015, por cuanto no se remitieron oportunamente los informes del laboratorio que realizó las mediciones, cuestión que será totalmente satisfecha en el marco del PDC.</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Por lo demás, los laboratorios que desarrollaron las mediciones son terceros independientes a Codelco y tal como lo requería la referida resolución N° 398, dentro de la información requerida se contemplaba dar cuenta de la metodología utilizada, motivo por el que igualmente las observaciones formuladas por el denunciante se encuentran salvaguardadas.</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Todo lo expuesto es sin perjuicio de las incorporaciones y rectificaciones que ha efectuado Codelco sobre el PDC con esta fecha, dando cumplimento a lo requerido por la SMA en el resuelvo N° I letra B.42 y 43 de su Resolución Exenta N° 5/Rol-18-2016.</w:t>
      </w:r>
    </w:p>
    <w:p w:rsidR="00960096" w:rsidRDefault="00960096" w:rsidP="004D740D">
      <w:pPr>
        <w:pStyle w:val="Sangradetextonormal"/>
        <w:tabs>
          <w:tab w:val="left" w:pos="0"/>
        </w:tabs>
        <w:spacing w:after="100" w:afterAutospacing="1" w:line="360" w:lineRule="auto"/>
        <w:ind w:left="0" w:firstLine="709"/>
        <w:jc w:val="both"/>
        <w:rPr>
          <w:rFonts w:ascii="Georgia" w:hAnsi="Georgia" w:cs="Arial"/>
        </w:rPr>
      </w:pP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bCs/>
          <w:caps/>
        </w:rPr>
      </w:pPr>
      <w:r>
        <w:rPr>
          <w:rFonts w:ascii="Georgia" w:hAnsi="Georgia" w:cs="Arial"/>
          <w:b/>
          <w:bCs/>
          <w:caps/>
        </w:rPr>
        <w:lastRenderedPageBreak/>
        <w:t>I</w:t>
      </w:r>
      <w:r w:rsidR="00D245B2">
        <w:rPr>
          <w:rFonts w:ascii="Georgia" w:hAnsi="Georgia" w:cs="Arial"/>
          <w:b/>
          <w:bCs/>
          <w:caps/>
        </w:rPr>
        <w:t>V</w:t>
      </w:r>
      <w:r>
        <w:rPr>
          <w:rFonts w:ascii="Georgia" w:hAnsi="Georgia" w:cs="Arial"/>
          <w:b/>
          <w:bCs/>
          <w:caps/>
        </w:rPr>
        <w:t>. Conclusiones</w:t>
      </w:r>
    </w:p>
    <w:p w:rsidR="004D740D" w:rsidRDefault="00BB6C0A" w:rsidP="00D12EAD">
      <w:pPr>
        <w:pStyle w:val="Sangradetextonormal"/>
        <w:tabs>
          <w:tab w:val="left" w:pos="0"/>
        </w:tabs>
        <w:spacing w:after="100" w:afterAutospacing="1" w:line="360" w:lineRule="auto"/>
        <w:ind w:left="0"/>
        <w:jc w:val="both"/>
        <w:rPr>
          <w:rFonts w:ascii="Georgia" w:hAnsi="Georgia" w:cs="Arial"/>
        </w:rPr>
      </w:pPr>
      <w:r>
        <w:rPr>
          <w:rFonts w:ascii="Georgia" w:hAnsi="Georgia" w:cs="Arial"/>
          <w:b/>
        </w:rPr>
        <w:tab/>
      </w:r>
      <w:r w:rsidR="004D740D">
        <w:rPr>
          <w:rFonts w:ascii="Georgia" w:hAnsi="Georgia" w:cs="Arial"/>
          <w:b/>
        </w:rPr>
        <w:t xml:space="preserve">A) </w:t>
      </w:r>
      <w:r w:rsidR="004D740D">
        <w:rPr>
          <w:rFonts w:ascii="Georgia" w:hAnsi="Georgia" w:cs="Arial"/>
        </w:rPr>
        <w:t xml:space="preserve">De acuerdo con </w:t>
      </w:r>
      <w:r w:rsidR="00EA0A17">
        <w:rPr>
          <w:rFonts w:ascii="Georgia" w:hAnsi="Georgia" w:cs="Arial"/>
        </w:rPr>
        <w:t>lo expuesto</w:t>
      </w:r>
      <w:r w:rsidR="004D740D">
        <w:rPr>
          <w:rFonts w:ascii="Georgia" w:hAnsi="Georgia" w:cs="Arial"/>
        </w:rPr>
        <w:t xml:space="preserve">, es posible </w:t>
      </w:r>
      <w:r w:rsidR="00EA0A17">
        <w:rPr>
          <w:rFonts w:ascii="Georgia" w:hAnsi="Georgia" w:cs="Arial"/>
        </w:rPr>
        <w:t>constatar</w:t>
      </w:r>
      <w:r w:rsidR="004D740D">
        <w:rPr>
          <w:rFonts w:ascii="Georgia" w:hAnsi="Georgia" w:cs="Arial"/>
        </w:rPr>
        <w:t xml:space="preserve"> que las observaciones formuladas por el Sr. León pueden ser clasificadas en tres grupos:</w:t>
      </w:r>
    </w:p>
    <w:p w:rsidR="004D740D" w:rsidRDefault="00BB6C0A" w:rsidP="00D12EAD">
      <w:pPr>
        <w:pStyle w:val="Sangradetextonormal"/>
        <w:tabs>
          <w:tab w:val="left" w:pos="0"/>
        </w:tabs>
        <w:spacing w:after="100" w:afterAutospacing="1" w:line="360" w:lineRule="auto"/>
        <w:ind w:left="0"/>
        <w:jc w:val="both"/>
        <w:rPr>
          <w:rFonts w:ascii="Georgia" w:hAnsi="Georgia" w:cs="Arial"/>
        </w:rPr>
      </w:pPr>
      <w:r>
        <w:rPr>
          <w:rFonts w:ascii="Georgia" w:hAnsi="Georgia" w:cs="Arial"/>
        </w:rPr>
        <w:tab/>
      </w:r>
      <w:r w:rsidR="00D12EAD">
        <w:rPr>
          <w:rFonts w:ascii="Georgia" w:hAnsi="Georgia" w:cs="Arial"/>
        </w:rPr>
        <w:t xml:space="preserve">1. </w:t>
      </w:r>
      <w:r w:rsidR="004D740D">
        <w:rPr>
          <w:rFonts w:ascii="Georgia" w:hAnsi="Georgia" w:cs="Arial"/>
        </w:rPr>
        <w:t xml:space="preserve">Observaciones que no dicen relación con los hechos imputados en la formulación de cargos y tampoco con el sentido y alcance del PDC, </w:t>
      </w:r>
      <w:r w:rsidR="00EA0A17">
        <w:rPr>
          <w:rFonts w:ascii="Georgia" w:hAnsi="Georgia" w:cs="Arial"/>
        </w:rPr>
        <w:t>constituyendo</w:t>
      </w:r>
      <w:r w:rsidR="004D740D">
        <w:rPr>
          <w:rFonts w:ascii="Georgia" w:hAnsi="Georgia" w:cs="Arial"/>
        </w:rPr>
        <w:t xml:space="preserve"> cuestionamientos sin ligazón con lo </w:t>
      </w:r>
      <w:r w:rsidR="00EA0A17">
        <w:rPr>
          <w:rFonts w:ascii="Georgia" w:hAnsi="Georgia" w:cs="Arial"/>
        </w:rPr>
        <w:t xml:space="preserve">que debe conocerse, </w:t>
      </w:r>
      <w:r w:rsidR="004D740D">
        <w:rPr>
          <w:rFonts w:ascii="Georgia" w:hAnsi="Georgia" w:cs="Arial"/>
        </w:rPr>
        <w:t>ponderarse</w:t>
      </w:r>
      <w:r w:rsidR="00EA0A17">
        <w:rPr>
          <w:rFonts w:ascii="Georgia" w:hAnsi="Georgia" w:cs="Arial"/>
        </w:rPr>
        <w:t xml:space="preserve"> y resolverse</w:t>
      </w:r>
      <w:r w:rsidR="004D740D">
        <w:rPr>
          <w:rFonts w:ascii="Georgia" w:hAnsi="Georgia" w:cs="Arial"/>
        </w:rPr>
        <w:t xml:space="preserve"> en esta fase del procedimiento administrativo. </w:t>
      </w:r>
    </w:p>
    <w:p w:rsidR="004D740D" w:rsidRDefault="00BB6C0A" w:rsidP="00D12EAD">
      <w:pPr>
        <w:pStyle w:val="Sangradetextonormal"/>
        <w:tabs>
          <w:tab w:val="left" w:pos="0"/>
        </w:tabs>
        <w:spacing w:after="100" w:afterAutospacing="1" w:line="360" w:lineRule="auto"/>
        <w:ind w:left="0"/>
        <w:jc w:val="both"/>
        <w:rPr>
          <w:rFonts w:ascii="Georgia" w:hAnsi="Georgia" w:cs="Arial"/>
        </w:rPr>
      </w:pPr>
      <w:r>
        <w:rPr>
          <w:rFonts w:ascii="Georgia" w:hAnsi="Georgia" w:cs="Arial"/>
        </w:rPr>
        <w:tab/>
      </w:r>
      <w:r w:rsidR="00D12EAD">
        <w:rPr>
          <w:rFonts w:ascii="Georgia" w:hAnsi="Georgia" w:cs="Arial"/>
        </w:rPr>
        <w:t xml:space="preserve">2. </w:t>
      </w:r>
      <w:r w:rsidR="004D740D">
        <w:rPr>
          <w:rFonts w:ascii="Georgia" w:hAnsi="Georgia" w:cs="Arial"/>
        </w:rPr>
        <w:t xml:space="preserve">Observaciones que, si bien se encuentran tangencialmente vinculadas, no </w:t>
      </w:r>
      <w:r w:rsidR="00EA0A17">
        <w:rPr>
          <w:rFonts w:ascii="Georgia" w:hAnsi="Georgia" w:cs="Arial"/>
        </w:rPr>
        <w:t>contienen</w:t>
      </w:r>
      <w:r w:rsidR="004D740D">
        <w:rPr>
          <w:rFonts w:ascii="Georgia" w:hAnsi="Georgia" w:cs="Arial"/>
        </w:rPr>
        <w:t xml:space="preserve"> antecedentes que aporten elementos de análisis</w:t>
      </w:r>
      <w:r w:rsidR="00EA0A17">
        <w:rPr>
          <w:rFonts w:ascii="Georgia" w:hAnsi="Georgia" w:cs="Arial"/>
        </w:rPr>
        <w:t xml:space="preserve"> definitivos</w:t>
      </w:r>
      <w:r w:rsidR="004D740D">
        <w:rPr>
          <w:rFonts w:ascii="Georgia" w:hAnsi="Georgia" w:cs="Arial"/>
        </w:rPr>
        <w:t xml:space="preserve"> a los criterios de aprobación del Programa.</w:t>
      </w:r>
    </w:p>
    <w:p w:rsidR="004D740D" w:rsidRDefault="00BB6C0A" w:rsidP="00EA0A17">
      <w:pPr>
        <w:pStyle w:val="Sangradetextonormal"/>
        <w:tabs>
          <w:tab w:val="left" w:pos="0"/>
        </w:tabs>
        <w:spacing w:after="100" w:afterAutospacing="1" w:line="360" w:lineRule="auto"/>
        <w:ind w:left="0"/>
        <w:jc w:val="both"/>
        <w:rPr>
          <w:rFonts w:ascii="Georgia" w:hAnsi="Georgia" w:cs="Arial"/>
        </w:rPr>
      </w:pPr>
      <w:r>
        <w:rPr>
          <w:rFonts w:ascii="Georgia" w:hAnsi="Georgia" w:cs="Arial"/>
        </w:rPr>
        <w:tab/>
      </w:r>
      <w:r w:rsidR="00EA0A17">
        <w:rPr>
          <w:rFonts w:ascii="Georgia" w:hAnsi="Georgia" w:cs="Arial"/>
        </w:rPr>
        <w:t xml:space="preserve">3. </w:t>
      </w:r>
      <w:r w:rsidR="004D740D">
        <w:rPr>
          <w:rFonts w:ascii="Georgia" w:hAnsi="Georgia" w:cs="Arial"/>
        </w:rPr>
        <w:t>Observaciones que plantean requerimientos que en realidad se encuentran recogidos, bien en el actuar previo de Codelco, bien en el PDC presentado ante la SMA.</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Luego, no se a</w:t>
      </w:r>
      <w:r w:rsidR="00EA0A17">
        <w:rPr>
          <w:rFonts w:ascii="Georgia" w:hAnsi="Georgia" w:cs="Arial"/>
        </w:rPr>
        <w:t>dvierten antecedentes técnicos ni</w:t>
      </w:r>
      <w:r>
        <w:rPr>
          <w:rFonts w:ascii="Georgia" w:hAnsi="Georgia" w:cs="Arial"/>
        </w:rPr>
        <w:t xml:space="preserve"> jurídicos que fundamenten </w:t>
      </w:r>
      <w:r w:rsidR="00EA0A17">
        <w:rPr>
          <w:rFonts w:ascii="Georgia" w:hAnsi="Georgia" w:cs="Arial"/>
        </w:rPr>
        <w:t xml:space="preserve"> y sostengan </w:t>
      </w:r>
      <w:r>
        <w:rPr>
          <w:rFonts w:ascii="Georgia" w:hAnsi="Georgia" w:cs="Arial"/>
        </w:rPr>
        <w:t>adecuadamente las observaciones del Sr. León al Programa de Cumplimiento originalmente presentado</w:t>
      </w:r>
      <w:r w:rsidR="00EA0A17">
        <w:rPr>
          <w:rFonts w:ascii="Georgia" w:hAnsi="Georgia" w:cs="Arial"/>
        </w:rPr>
        <w:t>, y que merezcan ser acogidas en el contexto del proceso de aprobación del mismo ni tampoco, en general, en el marco del proceso sancionatorio actualmente en curso</w:t>
      </w:r>
      <w:r>
        <w:rPr>
          <w:rFonts w:ascii="Georgia" w:hAnsi="Georgia" w:cs="Arial"/>
        </w:rPr>
        <w:t>.</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b/>
        </w:rPr>
      </w:pPr>
      <w:r>
        <w:rPr>
          <w:rFonts w:ascii="Georgia" w:hAnsi="Georgia" w:cs="Arial"/>
          <w:b/>
        </w:rPr>
        <w:t xml:space="preserve">B) </w:t>
      </w:r>
      <w:r>
        <w:rPr>
          <w:rFonts w:ascii="Georgia" w:hAnsi="Georgia" w:cs="Arial"/>
        </w:rPr>
        <w:t>Asimismo, en atención a que el Sr. León no manifestó objeción ni reparo alguno  al PDC en lo que concierne a las medidas asociadas a los cargos N°</w:t>
      </w:r>
      <w:r>
        <w:rPr>
          <w:rFonts w:ascii="Georgia" w:hAnsi="Georgia" w:cs="Arial"/>
          <w:vertAlign w:val="superscript"/>
        </w:rPr>
        <w:t>s</w:t>
      </w:r>
      <w:r>
        <w:rPr>
          <w:rFonts w:ascii="Georgia" w:hAnsi="Georgia" w:cs="Arial"/>
        </w:rPr>
        <w:t xml:space="preserve"> 1, 4, 6, 8 y 9, se entiende que a su respecto el denunciante se encuentra plenamente conforme</w:t>
      </w:r>
      <w:r w:rsidR="00BB6C0A">
        <w:rPr>
          <w:rFonts w:ascii="Georgia" w:hAnsi="Georgia" w:cs="Arial"/>
        </w:rPr>
        <w:t xml:space="preserve"> con lo señalado en dicho instrumento</w:t>
      </w:r>
      <w:r>
        <w:rPr>
          <w:rFonts w:ascii="Georgia" w:hAnsi="Georgia" w:cs="Arial"/>
        </w:rPr>
        <w:t>.</w:t>
      </w:r>
    </w:p>
    <w:p w:rsidR="004D740D" w:rsidRDefault="004D740D" w:rsidP="004D740D">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b/>
        </w:rPr>
        <w:t xml:space="preserve">C) </w:t>
      </w:r>
      <w:r w:rsidR="00BB6C0A">
        <w:rPr>
          <w:rFonts w:ascii="Georgia" w:hAnsi="Georgia" w:cs="Arial"/>
        </w:rPr>
        <w:t>Por consiguiente, en</w:t>
      </w:r>
      <w:r>
        <w:rPr>
          <w:rFonts w:ascii="Georgia" w:hAnsi="Georgia" w:cs="Arial"/>
        </w:rPr>
        <w:t xml:space="preserve"> virtud de</w:t>
      </w:r>
      <w:r w:rsidR="00BB6C0A">
        <w:rPr>
          <w:rFonts w:ascii="Georgia" w:hAnsi="Georgia" w:cs="Arial"/>
        </w:rPr>
        <w:t xml:space="preserve"> lo señalado</w:t>
      </w:r>
      <w:r>
        <w:rPr>
          <w:rFonts w:ascii="Georgia" w:hAnsi="Georgia" w:cs="Arial"/>
        </w:rPr>
        <w:t xml:space="preserve"> en el marco de la presentación realizada por el denunciante, no hay elementos que permitan controvertir o cuestionar que:</w:t>
      </w:r>
    </w:p>
    <w:p w:rsidR="004D740D" w:rsidRDefault="004D740D" w:rsidP="00B50F64">
      <w:pPr>
        <w:pStyle w:val="Sangradetextonormal"/>
        <w:numPr>
          <w:ilvl w:val="0"/>
          <w:numId w:val="32"/>
        </w:numPr>
        <w:tabs>
          <w:tab w:val="left" w:pos="0"/>
        </w:tabs>
        <w:spacing w:after="100" w:afterAutospacing="1" w:line="360" w:lineRule="auto"/>
        <w:jc w:val="both"/>
        <w:rPr>
          <w:rFonts w:ascii="Georgia" w:hAnsi="Georgia" w:cs="Arial"/>
        </w:rPr>
      </w:pPr>
      <w:r>
        <w:rPr>
          <w:rFonts w:ascii="Georgia" w:hAnsi="Georgia" w:cs="Arial"/>
        </w:rPr>
        <w:lastRenderedPageBreak/>
        <w:t xml:space="preserve">Las acciones y metas propuestas por </w:t>
      </w:r>
      <w:r w:rsidR="002A6588">
        <w:rPr>
          <w:rFonts w:ascii="Georgia" w:hAnsi="Georgia" w:cs="Arial"/>
        </w:rPr>
        <w:t>Codelco</w:t>
      </w:r>
      <w:r>
        <w:rPr>
          <w:rFonts w:ascii="Georgia" w:hAnsi="Georgia" w:cs="Arial"/>
        </w:rPr>
        <w:t xml:space="preserve"> se hacen cargo de todas y cada una de las infracciones que han sido imputadas por la SMA, como también de sus efectos</w:t>
      </w:r>
      <w:r w:rsidR="002240E6">
        <w:rPr>
          <w:rFonts w:ascii="Georgia" w:hAnsi="Georgia" w:cs="Arial"/>
        </w:rPr>
        <w:t>, cuando corresponde</w:t>
      </w:r>
      <w:r>
        <w:rPr>
          <w:rFonts w:ascii="Georgia" w:hAnsi="Georgia" w:cs="Arial"/>
        </w:rPr>
        <w:t xml:space="preserve">; </w:t>
      </w:r>
    </w:p>
    <w:p w:rsidR="004D740D" w:rsidRDefault="004D740D" w:rsidP="00B50F64">
      <w:pPr>
        <w:pStyle w:val="Sangradetextonormal"/>
        <w:numPr>
          <w:ilvl w:val="0"/>
          <w:numId w:val="32"/>
        </w:numPr>
        <w:tabs>
          <w:tab w:val="left" w:pos="0"/>
        </w:tabs>
        <w:spacing w:after="100" w:afterAutospacing="1" w:line="360" w:lineRule="auto"/>
        <w:jc w:val="both"/>
        <w:rPr>
          <w:rFonts w:ascii="Georgia" w:hAnsi="Georgia" w:cs="Arial"/>
        </w:rPr>
      </w:pPr>
      <w:r>
        <w:rPr>
          <w:rFonts w:ascii="Georgia" w:hAnsi="Georgia" w:cs="Arial"/>
        </w:rPr>
        <w:t>El PDC asegura el cumplimiento de la normativa</w:t>
      </w:r>
      <w:r w:rsidR="002240E6">
        <w:rPr>
          <w:rFonts w:ascii="Georgia" w:hAnsi="Georgia" w:cs="Arial"/>
        </w:rPr>
        <w:t xml:space="preserve"> que le ha sido atribuida como</w:t>
      </w:r>
      <w:r>
        <w:rPr>
          <w:rFonts w:ascii="Georgia" w:hAnsi="Georgia" w:cs="Arial"/>
        </w:rPr>
        <w:t xml:space="preserve"> infringida, </w:t>
      </w:r>
      <w:r w:rsidR="002240E6">
        <w:rPr>
          <w:rFonts w:ascii="Georgia" w:hAnsi="Georgia" w:cs="Arial"/>
        </w:rPr>
        <w:t>y</w:t>
      </w:r>
      <w:r>
        <w:rPr>
          <w:rFonts w:ascii="Georgia" w:hAnsi="Georgia" w:cs="Arial"/>
        </w:rPr>
        <w:t xml:space="preserve"> se dirige a contener, reducir y/o eliminar los efectos de los hechos que constituyen la infracción</w:t>
      </w:r>
      <w:r w:rsidR="002240E6">
        <w:rPr>
          <w:rFonts w:ascii="Georgia" w:hAnsi="Georgia" w:cs="Arial"/>
        </w:rPr>
        <w:t>, cuando éstos se han verificado</w:t>
      </w:r>
      <w:r>
        <w:rPr>
          <w:rFonts w:ascii="Georgia" w:hAnsi="Georgia" w:cs="Arial"/>
        </w:rPr>
        <w:t xml:space="preserve">;  </w:t>
      </w:r>
    </w:p>
    <w:p w:rsidR="004D740D" w:rsidRDefault="004D740D" w:rsidP="00B50F64">
      <w:pPr>
        <w:pStyle w:val="Sangradetextonormal"/>
        <w:numPr>
          <w:ilvl w:val="0"/>
          <w:numId w:val="32"/>
        </w:numPr>
        <w:tabs>
          <w:tab w:val="left" w:pos="0"/>
        </w:tabs>
        <w:spacing w:after="100" w:afterAutospacing="1" w:line="360" w:lineRule="auto"/>
        <w:jc w:val="both"/>
        <w:rPr>
          <w:rFonts w:ascii="Georgia" w:hAnsi="Georgia" w:cs="Arial"/>
        </w:rPr>
      </w:pPr>
      <w:r>
        <w:rPr>
          <w:rFonts w:ascii="Georgia" w:hAnsi="Georgia" w:cs="Arial"/>
        </w:rPr>
        <w:t>Las acciones y metas del PDC c</w:t>
      </w:r>
      <w:r w:rsidR="002240E6">
        <w:rPr>
          <w:rFonts w:ascii="Georgia" w:hAnsi="Georgia" w:cs="Arial"/>
        </w:rPr>
        <w:t>ontemplan asimismo mecanismos que permite</w:t>
      </w:r>
      <w:r>
        <w:rPr>
          <w:rFonts w:ascii="Georgia" w:hAnsi="Georgia" w:cs="Arial"/>
        </w:rPr>
        <w:t xml:space="preserve">n acreditar </w:t>
      </w:r>
      <w:r w:rsidR="002240E6">
        <w:rPr>
          <w:rFonts w:ascii="Georgia" w:hAnsi="Georgia" w:cs="Arial"/>
        </w:rPr>
        <w:t xml:space="preserve">efectiva y oportunamente </w:t>
      </w:r>
      <w:r>
        <w:rPr>
          <w:rFonts w:ascii="Georgia" w:hAnsi="Georgia" w:cs="Arial"/>
        </w:rPr>
        <w:t>su cumplimiento.</w:t>
      </w:r>
    </w:p>
    <w:p w:rsidR="00AC6879" w:rsidRDefault="004D740D" w:rsidP="00AC6879">
      <w:pPr>
        <w:pStyle w:val="Sangradetextonormal"/>
        <w:tabs>
          <w:tab w:val="left" w:pos="0"/>
        </w:tabs>
        <w:spacing w:after="100" w:afterAutospacing="1" w:line="360" w:lineRule="auto"/>
        <w:ind w:left="0" w:firstLine="709"/>
        <w:jc w:val="both"/>
        <w:rPr>
          <w:rFonts w:ascii="Georgia" w:hAnsi="Georgia" w:cs="Arial"/>
        </w:rPr>
      </w:pPr>
      <w:r>
        <w:rPr>
          <w:rFonts w:ascii="Georgia" w:hAnsi="Georgia" w:cs="Arial"/>
        </w:rPr>
        <w:t xml:space="preserve">Todo lo señalado, es sin perjuicio del contenido y alcance del Programa de Cumplimiento corregido </w:t>
      </w:r>
      <w:r w:rsidR="002240E6">
        <w:rPr>
          <w:rFonts w:ascii="Georgia" w:hAnsi="Georgia" w:cs="Arial"/>
        </w:rPr>
        <w:t xml:space="preserve">y complementado </w:t>
      </w:r>
      <w:r>
        <w:rPr>
          <w:rFonts w:ascii="Georgia" w:hAnsi="Georgia" w:cs="Arial"/>
        </w:rPr>
        <w:t>que Codelco ha presentado con esta fecha</w:t>
      </w:r>
      <w:r w:rsidR="002240E6">
        <w:rPr>
          <w:rFonts w:ascii="Georgia" w:hAnsi="Georgia" w:cs="Arial"/>
        </w:rPr>
        <w:t xml:space="preserve"> y que se acompaña en </w:t>
      </w:r>
      <w:r w:rsidR="00BB6C0A">
        <w:rPr>
          <w:rFonts w:ascii="Georgia" w:hAnsi="Georgia" w:cs="Arial"/>
        </w:rPr>
        <w:t>lo principal de esta presentación</w:t>
      </w:r>
      <w:r>
        <w:rPr>
          <w:rFonts w:ascii="Georgia" w:hAnsi="Georgia" w:cs="Arial"/>
        </w:rPr>
        <w:t xml:space="preserve">, para incorporar </w:t>
      </w:r>
      <w:r w:rsidR="00BB6C0A">
        <w:rPr>
          <w:rFonts w:ascii="Georgia" w:hAnsi="Georgia" w:cs="Arial"/>
        </w:rPr>
        <w:t xml:space="preserve">debidamente </w:t>
      </w:r>
      <w:r>
        <w:rPr>
          <w:rFonts w:ascii="Georgia" w:hAnsi="Georgia" w:cs="Arial"/>
        </w:rPr>
        <w:t xml:space="preserve">las observaciones formuladas por la SMA mediante la Resolución Exenta N° 5/Rol D-18-2016, de la División de Sanción y Cumplimiento. </w:t>
      </w:r>
    </w:p>
    <w:p w:rsidR="000C0A18" w:rsidRPr="000C0A18" w:rsidRDefault="000C0A18" w:rsidP="00AC6879">
      <w:pPr>
        <w:pStyle w:val="Sangradetextonormal"/>
        <w:tabs>
          <w:tab w:val="left" w:pos="0"/>
        </w:tabs>
        <w:spacing w:after="100" w:afterAutospacing="1" w:line="360" w:lineRule="auto"/>
        <w:ind w:left="0" w:firstLine="709"/>
        <w:jc w:val="both"/>
        <w:rPr>
          <w:rFonts w:ascii="Georgia" w:hAnsi="Georgia" w:cs="Arial"/>
          <w:b/>
        </w:rPr>
      </w:pPr>
      <w:r w:rsidRPr="000C0A18">
        <w:rPr>
          <w:rFonts w:ascii="Georgia" w:hAnsi="Georgia" w:cs="Arial"/>
          <w:b/>
        </w:rPr>
        <w:t>P</w:t>
      </w:r>
      <w:r w:rsidR="002A6588">
        <w:rPr>
          <w:rFonts w:ascii="Georgia" w:hAnsi="Georgia" w:cs="Arial"/>
          <w:b/>
        </w:rPr>
        <w:t>OR TANTO,</w:t>
      </w:r>
      <w:r w:rsidRPr="000C0A18">
        <w:rPr>
          <w:rFonts w:ascii="Georgia" w:hAnsi="Georgia" w:cs="Arial"/>
          <w:b/>
        </w:rPr>
        <w:t xml:space="preserve"> </w:t>
      </w:r>
    </w:p>
    <w:p w:rsidR="004D740D" w:rsidRDefault="002240E6" w:rsidP="00AC6879">
      <w:pPr>
        <w:pStyle w:val="Sangradetextonormal"/>
        <w:tabs>
          <w:tab w:val="left" w:pos="0"/>
        </w:tabs>
        <w:spacing w:after="100" w:afterAutospacing="1" w:line="360" w:lineRule="auto"/>
        <w:ind w:left="0"/>
        <w:jc w:val="both"/>
        <w:rPr>
          <w:rFonts w:ascii="Georgia" w:hAnsi="Georgia" w:cs="Arial"/>
        </w:rPr>
      </w:pPr>
      <w:r>
        <w:rPr>
          <w:rFonts w:ascii="Georgia" w:hAnsi="Georgia" w:cs="Arial"/>
        </w:rPr>
        <w:tab/>
      </w:r>
      <w:r w:rsidR="002A6588">
        <w:rPr>
          <w:rFonts w:ascii="Georgia" w:hAnsi="Georgia" w:cs="Arial"/>
        </w:rPr>
        <w:t>Y de acuerdo con</w:t>
      </w:r>
      <w:r w:rsidR="004D740D">
        <w:rPr>
          <w:rFonts w:ascii="Georgia" w:hAnsi="Georgia" w:cs="Arial"/>
        </w:rPr>
        <w:t xml:space="preserve"> lo dispuesto en la Resolución Exenta N° 5/Rol D-18-2016, de la División de Sanción y Cumplimiento de la SMA,</w:t>
      </w:r>
      <w:r w:rsidR="000C0A18">
        <w:rPr>
          <w:rFonts w:ascii="Georgia" w:hAnsi="Georgia" w:cs="Arial"/>
        </w:rPr>
        <w:t xml:space="preserve"> solicito</w:t>
      </w:r>
      <w:r w:rsidR="002A6588">
        <w:rPr>
          <w:rFonts w:ascii="Georgia" w:hAnsi="Georgia" w:cs="Arial"/>
        </w:rPr>
        <w:t xml:space="preserve"> t</w:t>
      </w:r>
      <w:r w:rsidR="004D740D">
        <w:rPr>
          <w:rFonts w:ascii="Georgia" w:hAnsi="Georgia" w:cs="Arial"/>
        </w:rPr>
        <w:t xml:space="preserve">ener presente lo expuesto al momento de ponderar las observaciones formuladas por el Sr. Andrés León Cabrera </w:t>
      </w:r>
      <w:r w:rsidR="002A6588">
        <w:rPr>
          <w:rFonts w:ascii="Georgia" w:hAnsi="Georgia" w:cs="Arial"/>
        </w:rPr>
        <w:t xml:space="preserve">con fecha 7 de junio de 2016, </w:t>
      </w:r>
      <w:r w:rsidR="004D740D">
        <w:rPr>
          <w:rFonts w:ascii="Georgia" w:hAnsi="Georgia" w:cs="Arial"/>
        </w:rPr>
        <w:t xml:space="preserve">sobre el Programa de Cumplimiento </w:t>
      </w:r>
      <w:r w:rsidR="002A6588">
        <w:rPr>
          <w:rFonts w:ascii="Georgia" w:hAnsi="Georgia" w:cs="Arial"/>
        </w:rPr>
        <w:t xml:space="preserve">originalmente </w:t>
      </w:r>
      <w:r w:rsidR="004D740D">
        <w:rPr>
          <w:rFonts w:ascii="Georgia" w:hAnsi="Georgia" w:cs="Arial"/>
        </w:rPr>
        <w:t>presentado por Codelco</w:t>
      </w:r>
      <w:r w:rsidR="002A6588">
        <w:rPr>
          <w:rFonts w:ascii="Georgia" w:hAnsi="Georgia" w:cs="Arial"/>
        </w:rPr>
        <w:t>.</w:t>
      </w:r>
      <w:r w:rsidR="004D740D">
        <w:rPr>
          <w:rFonts w:ascii="Georgia" w:hAnsi="Georgia" w:cs="Arial"/>
        </w:rPr>
        <w:t xml:space="preserve"> </w:t>
      </w:r>
    </w:p>
    <w:p w:rsidR="004D740D" w:rsidRDefault="000C0A18" w:rsidP="00AC6879">
      <w:pPr>
        <w:pStyle w:val="Sangradetextonormal"/>
        <w:tabs>
          <w:tab w:val="left" w:pos="0"/>
        </w:tabs>
        <w:spacing w:after="100" w:afterAutospacing="1" w:line="360" w:lineRule="auto"/>
        <w:ind w:left="0"/>
        <w:jc w:val="both"/>
        <w:rPr>
          <w:rFonts w:ascii="Georgia" w:hAnsi="Georgia" w:cs="Arial"/>
        </w:rPr>
      </w:pPr>
      <w:r>
        <w:rPr>
          <w:rFonts w:ascii="Georgia" w:hAnsi="Georgia" w:cs="Arial"/>
          <w:b/>
        </w:rPr>
        <w:tab/>
      </w:r>
      <w:r w:rsidR="00E71F16">
        <w:rPr>
          <w:rFonts w:ascii="Georgia" w:hAnsi="Georgia" w:cs="Arial"/>
          <w:b/>
        </w:rPr>
        <w:t>SEGUNDO</w:t>
      </w:r>
      <w:r w:rsidR="004D740D">
        <w:rPr>
          <w:rFonts w:ascii="Georgia" w:hAnsi="Georgia" w:cs="Arial"/>
        </w:rPr>
        <w:t xml:space="preserve"> </w:t>
      </w:r>
      <w:r w:rsidR="004D740D">
        <w:rPr>
          <w:rFonts w:ascii="Georgia" w:hAnsi="Georgia" w:cs="Arial"/>
          <w:b/>
        </w:rPr>
        <w:t xml:space="preserve">OTROSÍ: </w:t>
      </w:r>
      <w:r w:rsidR="007A3CA4">
        <w:rPr>
          <w:rFonts w:ascii="Georgia" w:hAnsi="Georgia" w:cs="Arial"/>
        </w:rPr>
        <w:t>P</w:t>
      </w:r>
      <w:r w:rsidR="004D740D">
        <w:rPr>
          <w:rFonts w:ascii="Georgia" w:hAnsi="Georgia" w:cs="Arial"/>
        </w:rPr>
        <w:t xml:space="preserve">ara </w:t>
      </w:r>
      <w:r w:rsidR="007A3CA4">
        <w:rPr>
          <w:rFonts w:ascii="Georgia" w:hAnsi="Georgia" w:cs="Arial"/>
        </w:rPr>
        <w:t xml:space="preserve">los efectos de </w:t>
      </w:r>
      <w:r w:rsidR="004D740D">
        <w:rPr>
          <w:rFonts w:ascii="Georgia" w:hAnsi="Georgia" w:cs="Arial"/>
        </w:rPr>
        <w:t xml:space="preserve">sustentar lo expuesto en </w:t>
      </w:r>
      <w:r w:rsidR="00B50F64">
        <w:rPr>
          <w:rFonts w:ascii="Georgia" w:hAnsi="Georgia" w:cs="Arial"/>
        </w:rPr>
        <w:t xml:space="preserve">el </w:t>
      </w:r>
      <w:r w:rsidR="00E71F16">
        <w:rPr>
          <w:rFonts w:ascii="Georgia" w:hAnsi="Georgia" w:cs="Arial"/>
        </w:rPr>
        <w:t>Primer</w:t>
      </w:r>
      <w:r w:rsidR="00B50F64">
        <w:rPr>
          <w:rFonts w:ascii="Georgia" w:hAnsi="Georgia" w:cs="Arial"/>
        </w:rPr>
        <w:t xml:space="preserve"> Otrosí</w:t>
      </w:r>
      <w:r w:rsidR="004D740D">
        <w:rPr>
          <w:rFonts w:ascii="Georgia" w:hAnsi="Georgia" w:cs="Arial"/>
        </w:rPr>
        <w:t xml:space="preserve"> de esta presentación</w:t>
      </w:r>
      <w:r w:rsidR="007A3CA4">
        <w:rPr>
          <w:rFonts w:ascii="Georgia" w:hAnsi="Georgia" w:cs="Arial"/>
        </w:rPr>
        <w:t>, en particular en relación al C</w:t>
      </w:r>
      <w:r w:rsidR="004D740D">
        <w:rPr>
          <w:rFonts w:ascii="Georgia" w:hAnsi="Georgia" w:cs="Arial"/>
        </w:rPr>
        <w:t>apítulo I</w:t>
      </w:r>
      <w:r w:rsidR="00F77A01">
        <w:rPr>
          <w:rFonts w:ascii="Georgia" w:hAnsi="Georgia" w:cs="Arial"/>
        </w:rPr>
        <w:t>I</w:t>
      </w:r>
      <w:r w:rsidR="004D740D">
        <w:rPr>
          <w:rFonts w:ascii="Georgia" w:hAnsi="Georgia" w:cs="Arial"/>
        </w:rPr>
        <w:t xml:space="preserve">I.B), </w:t>
      </w:r>
      <w:r w:rsidR="007A3CA4">
        <w:rPr>
          <w:rFonts w:ascii="Georgia" w:hAnsi="Georgia" w:cs="Arial"/>
        </w:rPr>
        <w:t>acompañamos</w:t>
      </w:r>
      <w:r w:rsidR="004D740D">
        <w:rPr>
          <w:rFonts w:ascii="Georgia" w:hAnsi="Georgia" w:cs="Arial"/>
        </w:rPr>
        <w:t xml:space="preserve"> los siguientes documentos:</w:t>
      </w:r>
    </w:p>
    <w:p w:rsidR="00B50F64" w:rsidRDefault="004D740D" w:rsidP="00B50F64">
      <w:pPr>
        <w:pStyle w:val="Sangradetextonormal"/>
        <w:numPr>
          <w:ilvl w:val="0"/>
          <w:numId w:val="30"/>
        </w:numPr>
        <w:tabs>
          <w:tab w:val="left" w:pos="0"/>
        </w:tabs>
        <w:spacing w:after="100" w:afterAutospacing="1" w:line="360" w:lineRule="auto"/>
        <w:jc w:val="both"/>
        <w:rPr>
          <w:rFonts w:ascii="Georgia" w:hAnsi="Georgia"/>
        </w:rPr>
      </w:pPr>
      <w:r>
        <w:rPr>
          <w:rFonts w:ascii="Georgia" w:hAnsi="Georgia" w:cs="Arial"/>
        </w:rPr>
        <w:t>Certificado de recepción final N° 592, de 15 de febrero de 2016, emitido por la Dirección de Obras de la Municipalidad de Puchuncaví.</w:t>
      </w:r>
    </w:p>
    <w:p w:rsidR="00B50F64" w:rsidRDefault="004D740D" w:rsidP="00B50F64">
      <w:pPr>
        <w:pStyle w:val="Sangradetextonormal"/>
        <w:numPr>
          <w:ilvl w:val="0"/>
          <w:numId w:val="30"/>
        </w:numPr>
        <w:tabs>
          <w:tab w:val="left" w:pos="0"/>
        </w:tabs>
        <w:spacing w:after="100" w:afterAutospacing="1" w:line="360" w:lineRule="auto"/>
        <w:jc w:val="both"/>
        <w:rPr>
          <w:rFonts w:ascii="Georgia" w:hAnsi="Georgia"/>
        </w:rPr>
      </w:pPr>
      <w:r w:rsidRPr="00B50F64">
        <w:rPr>
          <w:rFonts w:ascii="Georgia" w:hAnsi="Georgia" w:cs="Arial"/>
        </w:rPr>
        <w:t xml:space="preserve">Resolución N° 55, de 25 de abril de 2016, emitido por la Dirección de Obras de la Municipalidad de Puchuncaví. </w:t>
      </w:r>
    </w:p>
    <w:p w:rsidR="00B50F64" w:rsidRDefault="004D740D" w:rsidP="00B50F64">
      <w:pPr>
        <w:pStyle w:val="Sangradetextonormal"/>
        <w:numPr>
          <w:ilvl w:val="0"/>
          <w:numId w:val="30"/>
        </w:numPr>
        <w:tabs>
          <w:tab w:val="left" w:pos="0"/>
        </w:tabs>
        <w:spacing w:after="100" w:afterAutospacing="1" w:line="360" w:lineRule="auto"/>
        <w:jc w:val="both"/>
        <w:rPr>
          <w:rFonts w:ascii="Georgia" w:hAnsi="Georgia"/>
        </w:rPr>
      </w:pPr>
      <w:r w:rsidRPr="00B50F64">
        <w:rPr>
          <w:rFonts w:ascii="Georgia" w:hAnsi="Georgia" w:cs="Arial"/>
        </w:rPr>
        <w:t xml:space="preserve">Permiso de Obra Nueva N° 177-2015, de 31 de agosto de 2015, emitido por la Dirección de Obras de la Municipalidad de Puchuncaví (“Edificación acogida a </w:t>
      </w:r>
      <w:r w:rsidRPr="00B50F64">
        <w:rPr>
          <w:rFonts w:ascii="Georgia" w:hAnsi="Georgia" w:cs="Arial"/>
        </w:rPr>
        <w:lastRenderedPageBreak/>
        <w:t>Proceso de Reconstrucción de Expedientes, Resolución N° 77/2015, del 30.01.2015”).</w:t>
      </w:r>
    </w:p>
    <w:p w:rsidR="004D740D" w:rsidRPr="00B50F64" w:rsidRDefault="004D740D" w:rsidP="00B50F64">
      <w:pPr>
        <w:pStyle w:val="Sangradetextonormal"/>
        <w:numPr>
          <w:ilvl w:val="0"/>
          <w:numId w:val="30"/>
        </w:numPr>
        <w:tabs>
          <w:tab w:val="left" w:pos="0"/>
        </w:tabs>
        <w:spacing w:after="100" w:afterAutospacing="1" w:line="360" w:lineRule="auto"/>
        <w:jc w:val="both"/>
        <w:rPr>
          <w:rFonts w:ascii="Georgia" w:hAnsi="Georgia"/>
        </w:rPr>
      </w:pPr>
      <w:r w:rsidRPr="00B50F64">
        <w:rPr>
          <w:rFonts w:ascii="Georgia" w:hAnsi="Georgia" w:cs="Arial"/>
        </w:rPr>
        <w:t xml:space="preserve">Set de fotografías del Centro de Acopio temporal. </w:t>
      </w:r>
      <w:r w:rsidRPr="00B50F64">
        <w:rPr>
          <w:rFonts w:ascii="Georgia" w:hAnsi="Georgia" w:cs="Arial"/>
          <w:b/>
        </w:rPr>
        <w:t xml:space="preserve"> </w:t>
      </w:r>
    </w:p>
    <w:sectPr w:rsidR="004D740D" w:rsidRPr="00B50F64" w:rsidSect="00CF144A">
      <w:headerReference w:type="even" r:id="rId7"/>
      <w:headerReference w:type="default" r:id="rId8"/>
      <w:footerReference w:type="even" r:id="rId9"/>
      <w:footerReference w:type="default" r:id="rId10"/>
      <w:footerReference w:type="first" r:id="rId11"/>
      <w:pgSz w:w="12240" w:h="15840" w:code="1"/>
      <w:pgMar w:top="1701" w:right="1418" w:bottom="1418" w:left="1701" w:header="851" w:footer="731" w:gutter="0"/>
      <w:paperSrc w:first="15" w:other="15"/>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0E4" w:rsidRDefault="004050E4">
      <w:r>
        <w:separator/>
      </w:r>
    </w:p>
  </w:endnote>
  <w:endnote w:type="continuationSeparator" w:id="0">
    <w:p w:rsidR="004050E4" w:rsidRDefault="004050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a">
    <w:altName w:val="Arial"/>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56" w:rsidRDefault="008E7A56" w:rsidP="00F90E36">
    <w:pPr>
      <w:pStyle w:val="Piedepgina"/>
      <w:framePr w:wrap="around" w:vAnchor="text" w:hAnchor="margin" w:xAlign="center" w:y="1"/>
      <w:rPr>
        <w:rStyle w:val="Nmerodepgina"/>
      </w:rPr>
    </w:pPr>
    <w:r>
      <w:rPr>
        <w:rStyle w:val="Nmerodepgina"/>
      </w:rPr>
      <w:fldChar w:fldCharType="begin"/>
    </w:r>
    <w:r w:rsidR="004050E4">
      <w:rPr>
        <w:rStyle w:val="Nmerodepgina"/>
      </w:rPr>
      <w:instrText>PAGE</w:instrText>
    </w:r>
    <w:r>
      <w:rPr>
        <w:rStyle w:val="Nmerodepgina"/>
      </w:rPr>
      <w:instrText xml:space="preserve">  </w:instrText>
    </w:r>
    <w:r>
      <w:rPr>
        <w:rStyle w:val="Nmerodepgina"/>
      </w:rPr>
      <w:fldChar w:fldCharType="end"/>
    </w:r>
  </w:p>
  <w:p w:rsidR="008E7A56" w:rsidRDefault="008E7A56">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56" w:rsidRDefault="008E7A56">
    <w:pPr>
      <w:pStyle w:val="Piedepgina"/>
      <w:jc w:val="center"/>
    </w:pPr>
    <w:r>
      <w:t>-</w:t>
    </w:r>
    <w:r>
      <w:fldChar w:fldCharType="begin"/>
    </w:r>
    <w:r w:rsidR="004050E4">
      <w:instrText>PAGE</w:instrText>
    </w:r>
    <w:r>
      <w:instrText xml:space="preserve">   \* MERGEFORMAT</w:instrText>
    </w:r>
    <w:r>
      <w:fldChar w:fldCharType="separate"/>
    </w:r>
    <w:r w:rsidR="00CF144A" w:rsidRPr="00CF144A">
      <w:rPr>
        <w:noProof/>
        <w:lang w:val="es-ES"/>
      </w:rPr>
      <w:t>28</w:t>
    </w:r>
    <w:r>
      <w:fldChar w:fldCharType="end"/>
    </w:r>
    <w:r>
      <w:t>-</w:t>
    </w:r>
  </w:p>
  <w:p w:rsidR="008E7A56" w:rsidRDefault="008E7A56">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56" w:rsidRDefault="008E7A56">
    <w:pPr>
      <w:pStyle w:val="Piedepgina"/>
      <w:jc w:val="center"/>
    </w:pPr>
    <w:r>
      <w:t>-</w:t>
    </w:r>
    <w:r>
      <w:fldChar w:fldCharType="begin"/>
    </w:r>
    <w:r w:rsidR="004050E4">
      <w:instrText>PAGE</w:instrText>
    </w:r>
    <w:r>
      <w:instrText xml:space="preserve">   \* MERGEFORMAT</w:instrText>
    </w:r>
    <w:r>
      <w:fldChar w:fldCharType="separate"/>
    </w:r>
    <w:r w:rsidR="00CF144A" w:rsidRPr="00CF144A">
      <w:rPr>
        <w:noProof/>
        <w:lang w:val="es-ES"/>
      </w:rPr>
      <w:t>1</w:t>
    </w:r>
    <w:r>
      <w:fldChar w:fldCharType="end"/>
    </w:r>
    <w:r>
      <w:t>-</w:t>
    </w:r>
  </w:p>
  <w:p w:rsidR="008E7A56" w:rsidRDefault="008E7A5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0E4" w:rsidRDefault="004050E4">
      <w:r>
        <w:separator/>
      </w:r>
    </w:p>
  </w:footnote>
  <w:footnote w:type="continuationSeparator" w:id="0">
    <w:p w:rsidR="004050E4" w:rsidRDefault="004050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56" w:rsidRDefault="008E7A56" w:rsidP="00F90E36">
    <w:pPr>
      <w:pStyle w:val="Encabezado"/>
      <w:framePr w:wrap="around" w:vAnchor="text" w:hAnchor="margin" w:xAlign="center" w:y="1"/>
      <w:rPr>
        <w:rStyle w:val="Nmerodepgina"/>
      </w:rPr>
    </w:pPr>
    <w:r>
      <w:rPr>
        <w:rStyle w:val="Nmerodepgina"/>
      </w:rPr>
      <w:fldChar w:fldCharType="begin"/>
    </w:r>
    <w:r w:rsidR="004050E4">
      <w:rPr>
        <w:rStyle w:val="Nmerodepgina"/>
      </w:rPr>
      <w:instrText>PAGE</w:instrText>
    </w:r>
    <w:r>
      <w:rPr>
        <w:rStyle w:val="Nmerodepgina"/>
      </w:rPr>
      <w:instrText xml:space="preserve">  </w:instrText>
    </w:r>
    <w:r>
      <w:rPr>
        <w:rStyle w:val="Nmerodepgina"/>
      </w:rPr>
      <w:fldChar w:fldCharType="end"/>
    </w:r>
  </w:p>
  <w:p w:rsidR="008E7A56" w:rsidRDefault="008E7A56">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56" w:rsidRPr="004553C5" w:rsidRDefault="008E7A56" w:rsidP="00F90E36">
    <w:pPr>
      <w:pStyle w:val="Encabezado"/>
      <w:jc w:val="right"/>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EBA33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9E3105"/>
    <w:multiLevelType w:val="multilevel"/>
    <w:tmpl w:val="CB006C3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041909"/>
    <w:multiLevelType w:val="hybridMultilevel"/>
    <w:tmpl w:val="167ABB52"/>
    <w:lvl w:ilvl="0" w:tplc="340A0015">
      <w:start w:val="1"/>
      <w:numFmt w:val="upp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0F770327"/>
    <w:multiLevelType w:val="hybridMultilevel"/>
    <w:tmpl w:val="88442C5C"/>
    <w:lvl w:ilvl="0" w:tplc="FA1C9292">
      <w:start w:val="3"/>
      <w:numFmt w:val="bullet"/>
      <w:lvlText w:val="-"/>
      <w:lvlJc w:val="left"/>
      <w:pPr>
        <w:tabs>
          <w:tab w:val="num" w:pos="1608"/>
        </w:tabs>
        <w:ind w:left="1608" w:hanging="900"/>
      </w:pPr>
      <w:rPr>
        <w:rFonts w:ascii="Times New Roman" w:eastAsia="Times New Roman" w:hAnsi="Times New Roman" w:cs="Times New Roman" w:hint="default"/>
      </w:rPr>
    </w:lvl>
    <w:lvl w:ilvl="1" w:tplc="340A0003" w:tentative="1">
      <w:start w:val="1"/>
      <w:numFmt w:val="bullet"/>
      <w:lvlText w:val="o"/>
      <w:lvlJc w:val="left"/>
      <w:pPr>
        <w:tabs>
          <w:tab w:val="num" w:pos="1788"/>
        </w:tabs>
        <w:ind w:left="1788" w:hanging="360"/>
      </w:pPr>
      <w:rPr>
        <w:rFonts w:ascii="Courier New" w:hAnsi="Courier New" w:cs="Wingdings" w:hint="default"/>
      </w:rPr>
    </w:lvl>
    <w:lvl w:ilvl="2" w:tplc="340A0005" w:tentative="1">
      <w:start w:val="1"/>
      <w:numFmt w:val="bullet"/>
      <w:lvlText w:val=""/>
      <w:lvlJc w:val="left"/>
      <w:pPr>
        <w:tabs>
          <w:tab w:val="num" w:pos="2508"/>
        </w:tabs>
        <w:ind w:left="2508" w:hanging="360"/>
      </w:pPr>
      <w:rPr>
        <w:rFonts w:ascii="Wingdings" w:hAnsi="Wingdings" w:hint="default"/>
      </w:rPr>
    </w:lvl>
    <w:lvl w:ilvl="3" w:tplc="340A0001" w:tentative="1">
      <w:start w:val="1"/>
      <w:numFmt w:val="bullet"/>
      <w:lvlText w:val=""/>
      <w:lvlJc w:val="left"/>
      <w:pPr>
        <w:tabs>
          <w:tab w:val="num" w:pos="3228"/>
        </w:tabs>
        <w:ind w:left="3228" w:hanging="360"/>
      </w:pPr>
      <w:rPr>
        <w:rFonts w:ascii="Symbol" w:hAnsi="Symbol" w:hint="default"/>
      </w:rPr>
    </w:lvl>
    <w:lvl w:ilvl="4" w:tplc="340A0003" w:tentative="1">
      <w:start w:val="1"/>
      <w:numFmt w:val="bullet"/>
      <w:lvlText w:val="o"/>
      <w:lvlJc w:val="left"/>
      <w:pPr>
        <w:tabs>
          <w:tab w:val="num" w:pos="3948"/>
        </w:tabs>
        <w:ind w:left="3948" w:hanging="360"/>
      </w:pPr>
      <w:rPr>
        <w:rFonts w:ascii="Courier New" w:hAnsi="Courier New" w:cs="Wingdings" w:hint="default"/>
      </w:rPr>
    </w:lvl>
    <w:lvl w:ilvl="5" w:tplc="340A0005" w:tentative="1">
      <w:start w:val="1"/>
      <w:numFmt w:val="bullet"/>
      <w:lvlText w:val=""/>
      <w:lvlJc w:val="left"/>
      <w:pPr>
        <w:tabs>
          <w:tab w:val="num" w:pos="4668"/>
        </w:tabs>
        <w:ind w:left="4668" w:hanging="360"/>
      </w:pPr>
      <w:rPr>
        <w:rFonts w:ascii="Wingdings" w:hAnsi="Wingdings" w:hint="default"/>
      </w:rPr>
    </w:lvl>
    <w:lvl w:ilvl="6" w:tplc="340A0001" w:tentative="1">
      <w:start w:val="1"/>
      <w:numFmt w:val="bullet"/>
      <w:lvlText w:val=""/>
      <w:lvlJc w:val="left"/>
      <w:pPr>
        <w:tabs>
          <w:tab w:val="num" w:pos="5388"/>
        </w:tabs>
        <w:ind w:left="5388" w:hanging="360"/>
      </w:pPr>
      <w:rPr>
        <w:rFonts w:ascii="Symbol" w:hAnsi="Symbol" w:hint="default"/>
      </w:rPr>
    </w:lvl>
    <w:lvl w:ilvl="7" w:tplc="340A0003" w:tentative="1">
      <w:start w:val="1"/>
      <w:numFmt w:val="bullet"/>
      <w:lvlText w:val="o"/>
      <w:lvlJc w:val="left"/>
      <w:pPr>
        <w:tabs>
          <w:tab w:val="num" w:pos="6108"/>
        </w:tabs>
        <w:ind w:left="6108" w:hanging="360"/>
      </w:pPr>
      <w:rPr>
        <w:rFonts w:ascii="Courier New" w:hAnsi="Courier New" w:cs="Wingdings" w:hint="default"/>
      </w:rPr>
    </w:lvl>
    <w:lvl w:ilvl="8" w:tplc="340A0005" w:tentative="1">
      <w:start w:val="1"/>
      <w:numFmt w:val="bullet"/>
      <w:lvlText w:val=""/>
      <w:lvlJc w:val="left"/>
      <w:pPr>
        <w:tabs>
          <w:tab w:val="num" w:pos="6828"/>
        </w:tabs>
        <w:ind w:left="6828" w:hanging="360"/>
      </w:pPr>
      <w:rPr>
        <w:rFonts w:ascii="Wingdings" w:hAnsi="Wingdings" w:hint="default"/>
      </w:rPr>
    </w:lvl>
  </w:abstractNum>
  <w:abstractNum w:abstractNumId="4">
    <w:nsid w:val="100959C1"/>
    <w:multiLevelType w:val="hybridMultilevel"/>
    <w:tmpl w:val="49AE1FD4"/>
    <w:lvl w:ilvl="0" w:tplc="340A0017">
      <w:start w:val="1"/>
      <w:numFmt w:val="lowerLetter"/>
      <w:lvlText w:val="%1)"/>
      <w:lvlJc w:val="left"/>
      <w:pPr>
        <w:tabs>
          <w:tab w:val="num" w:pos="720"/>
        </w:tabs>
        <w:ind w:left="720" w:hanging="360"/>
      </w:pPr>
      <w:rPr>
        <w:rFonts w:hint="default"/>
      </w:rPr>
    </w:lvl>
    <w:lvl w:ilvl="1" w:tplc="340A0019">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5">
    <w:nsid w:val="16D04E2B"/>
    <w:multiLevelType w:val="hybridMultilevel"/>
    <w:tmpl w:val="C6600DFA"/>
    <w:lvl w:ilvl="0" w:tplc="D6F03702">
      <w:start w:val="3"/>
      <w:numFmt w:val="bullet"/>
      <w:lvlText w:val="-"/>
      <w:lvlJc w:val="left"/>
      <w:pPr>
        <w:tabs>
          <w:tab w:val="num" w:pos="900"/>
        </w:tabs>
        <w:ind w:left="900" w:hanging="900"/>
      </w:pPr>
      <w:rPr>
        <w:rFonts w:ascii="Times New Roman" w:eastAsia="Times New Roman" w:hAnsi="Times New Roman" w:cs="Times New Roman" w:hint="default"/>
      </w:rPr>
    </w:lvl>
    <w:lvl w:ilvl="1" w:tplc="340A0003" w:tentative="1">
      <w:start w:val="1"/>
      <w:numFmt w:val="bullet"/>
      <w:lvlText w:val="o"/>
      <w:lvlJc w:val="left"/>
      <w:pPr>
        <w:tabs>
          <w:tab w:val="num" w:pos="1080"/>
        </w:tabs>
        <w:ind w:left="1080" w:hanging="360"/>
      </w:pPr>
      <w:rPr>
        <w:rFonts w:ascii="Courier New" w:hAnsi="Courier New" w:cs="Wingdings" w:hint="default"/>
      </w:rPr>
    </w:lvl>
    <w:lvl w:ilvl="2" w:tplc="340A0005" w:tentative="1">
      <w:start w:val="1"/>
      <w:numFmt w:val="bullet"/>
      <w:lvlText w:val=""/>
      <w:lvlJc w:val="left"/>
      <w:pPr>
        <w:tabs>
          <w:tab w:val="num" w:pos="1800"/>
        </w:tabs>
        <w:ind w:left="1800" w:hanging="360"/>
      </w:pPr>
      <w:rPr>
        <w:rFonts w:ascii="Wingdings" w:hAnsi="Wingdings" w:hint="default"/>
      </w:rPr>
    </w:lvl>
    <w:lvl w:ilvl="3" w:tplc="340A0001" w:tentative="1">
      <w:start w:val="1"/>
      <w:numFmt w:val="bullet"/>
      <w:lvlText w:val=""/>
      <w:lvlJc w:val="left"/>
      <w:pPr>
        <w:tabs>
          <w:tab w:val="num" w:pos="2520"/>
        </w:tabs>
        <w:ind w:left="2520" w:hanging="360"/>
      </w:pPr>
      <w:rPr>
        <w:rFonts w:ascii="Symbol" w:hAnsi="Symbol" w:hint="default"/>
      </w:rPr>
    </w:lvl>
    <w:lvl w:ilvl="4" w:tplc="340A0003" w:tentative="1">
      <w:start w:val="1"/>
      <w:numFmt w:val="bullet"/>
      <w:lvlText w:val="o"/>
      <w:lvlJc w:val="left"/>
      <w:pPr>
        <w:tabs>
          <w:tab w:val="num" w:pos="3240"/>
        </w:tabs>
        <w:ind w:left="3240" w:hanging="360"/>
      </w:pPr>
      <w:rPr>
        <w:rFonts w:ascii="Courier New" w:hAnsi="Courier New" w:cs="Wingdings" w:hint="default"/>
      </w:rPr>
    </w:lvl>
    <w:lvl w:ilvl="5" w:tplc="340A0005" w:tentative="1">
      <w:start w:val="1"/>
      <w:numFmt w:val="bullet"/>
      <w:lvlText w:val=""/>
      <w:lvlJc w:val="left"/>
      <w:pPr>
        <w:tabs>
          <w:tab w:val="num" w:pos="3960"/>
        </w:tabs>
        <w:ind w:left="3960" w:hanging="360"/>
      </w:pPr>
      <w:rPr>
        <w:rFonts w:ascii="Wingdings" w:hAnsi="Wingdings" w:hint="default"/>
      </w:rPr>
    </w:lvl>
    <w:lvl w:ilvl="6" w:tplc="340A0001" w:tentative="1">
      <w:start w:val="1"/>
      <w:numFmt w:val="bullet"/>
      <w:lvlText w:val=""/>
      <w:lvlJc w:val="left"/>
      <w:pPr>
        <w:tabs>
          <w:tab w:val="num" w:pos="4680"/>
        </w:tabs>
        <w:ind w:left="4680" w:hanging="360"/>
      </w:pPr>
      <w:rPr>
        <w:rFonts w:ascii="Symbol" w:hAnsi="Symbol" w:hint="default"/>
      </w:rPr>
    </w:lvl>
    <w:lvl w:ilvl="7" w:tplc="340A0003" w:tentative="1">
      <w:start w:val="1"/>
      <w:numFmt w:val="bullet"/>
      <w:lvlText w:val="o"/>
      <w:lvlJc w:val="left"/>
      <w:pPr>
        <w:tabs>
          <w:tab w:val="num" w:pos="5400"/>
        </w:tabs>
        <w:ind w:left="5400" w:hanging="360"/>
      </w:pPr>
      <w:rPr>
        <w:rFonts w:ascii="Courier New" w:hAnsi="Courier New" w:cs="Wingdings" w:hint="default"/>
      </w:rPr>
    </w:lvl>
    <w:lvl w:ilvl="8" w:tplc="340A0005" w:tentative="1">
      <w:start w:val="1"/>
      <w:numFmt w:val="bullet"/>
      <w:lvlText w:val=""/>
      <w:lvlJc w:val="left"/>
      <w:pPr>
        <w:tabs>
          <w:tab w:val="num" w:pos="6120"/>
        </w:tabs>
        <w:ind w:left="6120" w:hanging="360"/>
      </w:pPr>
      <w:rPr>
        <w:rFonts w:ascii="Wingdings" w:hAnsi="Wingdings" w:hint="default"/>
      </w:rPr>
    </w:lvl>
  </w:abstractNum>
  <w:abstractNum w:abstractNumId="6">
    <w:nsid w:val="17704648"/>
    <w:multiLevelType w:val="hybridMultilevel"/>
    <w:tmpl w:val="167ABB52"/>
    <w:lvl w:ilvl="0" w:tplc="340A0015">
      <w:start w:val="1"/>
      <w:numFmt w:val="upp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1B247B94"/>
    <w:multiLevelType w:val="hybridMultilevel"/>
    <w:tmpl w:val="3B627F84"/>
    <w:lvl w:ilvl="0" w:tplc="340A0001">
      <w:start w:val="1"/>
      <w:numFmt w:val="bullet"/>
      <w:lvlText w:val=""/>
      <w:lvlJc w:val="left"/>
      <w:pPr>
        <w:tabs>
          <w:tab w:val="num" w:pos="2484"/>
        </w:tabs>
        <w:ind w:left="2484" w:hanging="360"/>
      </w:pPr>
      <w:rPr>
        <w:rFonts w:ascii="Symbol" w:hAnsi="Symbol" w:hint="default"/>
      </w:rPr>
    </w:lvl>
    <w:lvl w:ilvl="1" w:tplc="340A0003" w:tentative="1">
      <w:start w:val="1"/>
      <w:numFmt w:val="bullet"/>
      <w:lvlText w:val="o"/>
      <w:lvlJc w:val="left"/>
      <w:pPr>
        <w:tabs>
          <w:tab w:val="num" w:pos="3204"/>
        </w:tabs>
        <w:ind w:left="3204" w:hanging="360"/>
      </w:pPr>
      <w:rPr>
        <w:rFonts w:ascii="Courier New" w:hAnsi="Courier New" w:cs="Wingdings" w:hint="default"/>
      </w:rPr>
    </w:lvl>
    <w:lvl w:ilvl="2" w:tplc="340A0005" w:tentative="1">
      <w:start w:val="1"/>
      <w:numFmt w:val="bullet"/>
      <w:lvlText w:val=""/>
      <w:lvlJc w:val="left"/>
      <w:pPr>
        <w:tabs>
          <w:tab w:val="num" w:pos="3924"/>
        </w:tabs>
        <w:ind w:left="3924" w:hanging="360"/>
      </w:pPr>
      <w:rPr>
        <w:rFonts w:ascii="Wingdings" w:hAnsi="Wingdings" w:hint="default"/>
      </w:rPr>
    </w:lvl>
    <w:lvl w:ilvl="3" w:tplc="340A0001" w:tentative="1">
      <w:start w:val="1"/>
      <w:numFmt w:val="bullet"/>
      <w:lvlText w:val=""/>
      <w:lvlJc w:val="left"/>
      <w:pPr>
        <w:tabs>
          <w:tab w:val="num" w:pos="4644"/>
        </w:tabs>
        <w:ind w:left="4644" w:hanging="360"/>
      </w:pPr>
      <w:rPr>
        <w:rFonts w:ascii="Symbol" w:hAnsi="Symbol" w:hint="default"/>
      </w:rPr>
    </w:lvl>
    <w:lvl w:ilvl="4" w:tplc="340A0003" w:tentative="1">
      <w:start w:val="1"/>
      <w:numFmt w:val="bullet"/>
      <w:lvlText w:val="o"/>
      <w:lvlJc w:val="left"/>
      <w:pPr>
        <w:tabs>
          <w:tab w:val="num" w:pos="5364"/>
        </w:tabs>
        <w:ind w:left="5364" w:hanging="360"/>
      </w:pPr>
      <w:rPr>
        <w:rFonts w:ascii="Courier New" w:hAnsi="Courier New" w:cs="Wingdings" w:hint="default"/>
      </w:rPr>
    </w:lvl>
    <w:lvl w:ilvl="5" w:tplc="340A0005" w:tentative="1">
      <w:start w:val="1"/>
      <w:numFmt w:val="bullet"/>
      <w:lvlText w:val=""/>
      <w:lvlJc w:val="left"/>
      <w:pPr>
        <w:tabs>
          <w:tab w:val="num" w:pos="6084"/>
        </w:tabs>
        <w:ind w:left="6084" w:hanging="360"/>
      </w:pPr>
      <w:rPr>
        <w:rFonts w:ascii="Wingdings" w:hAnsi="Wingdings" w:hint="default"/>
      </w:rPr>
    </w:lvl>
    <w:lvl w:ilvl="6" w:tplc="340A0001" w:tentative="1">
      <w:start w:val="1"/>
      <w:numFmt w:val="bullet"/>
      <w:lvlText w:val=""/>
      <w:lvlJc w:val="left"/>
      <w:pPr>
        <w:tabs>
          <w:tab w:val="num" w:pos="6804"/>
        </w:tabs>
        <w:ind w:left="6804" w:hanging="360"/>
      </w:pPr>
      <w:rPr>
        <w:rFonts w:ascii="Symbol" w:hAnsi="Symbol" w:hint="default"/>
      </w:rPr>
    </w:lvl>
    <w:lvl w:ilvl="7" w:tplc="340A0003" w:tentative="1">
      <w:start w:val="1"/>
      <w:numFmt w:val="bullet"/>
      <w:lvlText w:val="o"/>
      <w:lvlJc w:val="left"/>
      <w:pPr>
        <w:tabs>
          <w:tab w:val="num" w:pos="7524"/>
        </w:tabs>
        <w:ind w:left="7524" w:hanging="360"/>
      </w:pPr>
      <w:rPr>
        <w:rFonts w:ascii="Courier New" w:hAnsi="Courier New" w:cs="Wingdings" w:hint="default"/>
      </w:rPr>
    </w:lvl>
    <w:lvl w:ilvl="8" w:tplc="340A0005" w:tentative="1">
      <w:start w:val="1"/>
      <w:numFmt w:val="bullet"/>
      <w:lvlText w:val=""/>
      <w:lvlJc w:val="left"/>
      <w:pPr>
        <w:tabs>
          <w:tab w:val="num" w:pos="8244"/>
        </w:tabs>
        <w:ind w:left="8244" w:hanging="360"/>
      </w:pPr>
      <w:rPr>
        <w:rFonts w:ascii="Wingdings" w:hAnsi="Wingdings" w:hint="default"/>
      </w:rPr>
    </w:lvl>
  </w:abstractNum>
  <w:abstractNum w:abstractNumId="8">
    <w:nsid w:val="22AC4C02"/>
    <w:multiLevelType w:val="multilevel"/>
    <w:tmpl w:val="4BE8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7F0737"/>
    <w:multiLevelType w:val="hybridMultilevel"/>
    <w:tmpl w:val="824E6CB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26EF5B1A"/>
    <w:multiLevelType w:val="hybridMultilevel"/>
    <w:tmpl w:val="BA8C13C8"/>
    <w:lvl w:ilvl="0" w:tplc="340A0017">
      <w:start w:val="1"/>
      <w:numFmt w:val="lowerLetter"/>
      <w:lvlText w:val="%1)"/>
      <w:lvlJc w:val="left"/>
      <w:pPr>
        <w:tabs>
          <w:tab w:val="num" w:pos="720"/>
        </w:tabs>
        <w:ind w:left="720" w:hanging="360"/>
      </w:pPr>
      <w:rPr>
        <w:rFonts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11">
    <w:nsid w:val="3023597D"/>
    <w:multiLevelType w:val="hybridMultilevel"/>
    <w:tmpl w:val="58CE51C0"/>
    <w:lvl w:ilvl="0" w:tplc="340A0017">
      <w:start w:val="1"/>
      <w:numFmt w:val="lowerLetter"/>
      <w:lvlText w:val="%1)"/>
      <w:lvlJc w:val="left"/>
      <w:pPr>
        <w:tabs>
          <w:tab w:val="num" w:pos="1068"/>
        </w:tabs>
        <w:ind w:left="1068" w:hanging="360"/>
      </w:pPr>
      <w:rPr>
        <w:rFonts w:hint="default"/>
      </w:rPr>
    </w:lvl>
    <w:lvl w:ilvl="1" w:tplc="340A0019" w:tentative="1">
      <w:start w:val="1"/>
      <w:numFmt w:val="lowerLetter"/>
      <w:lvlText w:val="%2."/>
      <w:lvlJc w:val="left"/>
      <w:pPr>
        <w:tabs>
          <w:tab w:val="num" w:pos="1788"/>
        </w:tabs>
        <w:ind w:left="1788" w:hanging="360"/>
      </w:pPr>
    </w:lvl>
    <w:lvl w:ilvl="2" w:tplc="340A001B" w:tentative="1">
      <w:start w:val="1"/>
      <w:numFmt w:val="lowerRoman"/>
      <w:lvlText w:val="%3."/>
      <w:lvlJc w:val="right"/>
      <w:pPr>
        <w:tabs>
          <w:tab w:val="num" w:pos="2508"/>
        </w:tabs>
        <w:ind w:left="2508" w:hanging="180"/>
      </w:pPr>
    </w:lvl>
    <w:lvl w:ilvl="3" w:tplc="340A000F" w:tentative="1">
      <w:start w:val="1"/>
      <w:numFmt w:val="decimal"/>
      <w:lvlText w:val="%4."/>
      <w:lvlJc w:val="left"/>
      <w:pPr>
        <w:tabs>
          <w:tab w:val="num" w:pos="3228"/>
        </w:tabs>
        <w:ind w:left="3228" w:hanging="360"/>
      </w:pPr>
    </w:lvl>
    <w:lvl w:ilvl="4" w:tplc="340A0019" w:tentative="1">
      <w:start w:val="1"/>
      <w:numFmt w:val="lowerLetter"/>
      <w:lvlText w:val="%5."/>
      <w:lvlJc w:val="left"/>
      <w:pPr>
        <w:tabs>
          <w:tab w:val="num" w:pos="3948"/>
        </w:tabs>
        <w:ind w:left="3948" w:hanging="360"/>
      </w:pPr>
    </w:lvl>
    <w:lvl w:ilvl="5" w:tplc="340A001B" w:tentative="1">
      <w:start w:val="1"/>
      <w:numFmt w:val="lowerRoman"/>
      <w:lvlText w:val="%6."/>
      <w:lvlJc w:val="right"/>
      <w:pPr>
        <w:tabs>
          <w:tab w:val="num" w:pos="4668"/>
        </w:tabs>
        <w:ind w:left="4668" w:hanging="180"/>
      </w:pPr>
    </w:lvl>
    <w:lvl w:ilvl="6" w:tplc="340A000F" w:tentative="1">
      <w:start w:val="1"/>
      <w:numFmt w:val="decimal"/>
      <w:lvlText w:val="%7."/>
      <w:lvlJc w:val="left"/>
      <w:pPr>
        <w:tabs>
          <w:tab w:val="num" w:pos="5388"/>
        </w:tabs>
        <w:ind w:left="5388" w:hanging="360"/>
      </w:pPr>
    </w:lvl>
    <w:lvl w:ilvl="7" w:tplc="340A0019" w:tentative="1">
      <w:start w:val="1"/>
      <w:numFmt w:val="lowerLetter"/>
      <w:lvlText w:val="%8."/>
      <w:lvlJc w:val="left"/>
      <w:pPr>
        <w:tabs>
          <w:tab w:val="num" w:pos="6108"/>
        </w:tabs>
        <w:ind w:left="6108" w:hanging="360"/>
      </w:pPr>
    </w:lvl>
    <w:lvl w:ilvl="8" w:tplc="340A001B" w:tentative="1">
      <w:start w:val="1"/>
      <w:numFmt w:val="lowerRoman"/>
      <w:lvlText w:val="%9."/>
      <w:lvlJc w:val="right"/>
      <w:pPr>
        <w:tabs>
          <w:tab w:val="num" w:pos="6828"/>
        </w:tabs>
        <w:ind w:left="6828" w:hanging="180"/>
      </w:pPr>
    </w:lvl>
  </w:abstractNum>
  <w:abstractNum w:abstractNumId="12">
    <w:nsid w:val="31FC4591"/>
    <w:multiLevelType w:val="hybridMultilevel"/>
    <w:tmpl w:val="DE5636D8"/>
    <w:lvl w:ilvl="0" w:tplc="E8EC5EF2">
      <w:start w:val="3"/>
      <w:numFmt w:val="bullet"/>
      <w:lvlText w:val="-"/>
      <w:lvlJc w:val="left"/>
      <w:pPr>
        <w:ind w:left="720" w:hanging="360"/>
      </w:pPr>
      <w:rPr>
        <w:rFonts w:ascii="Garamond" w:eastAsia="Times New Roman" w:hAnsi="Garamond" w:cs="Aria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3">
    <w:nsid w:val="36F1056C"/>
    <w:multiLevelType w:val="hybridMultilevel"/>
    <w:tmpl w:val="7394616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nsid w:val="388E6420"/>
    <w:multiLevelType w:val="hybridMultilevel"/>
    <w:tmpl w:val="D6BEF36C"/>
    <w:lvl w:ilvl="0" w:tplc="8D906EA2">
      <w:start w:val="1"/>
      <w:numFmt w:val="bullet"/>
      <w:lvlText w:val="-"/>
      <w:lvlJc w:val="left"/>
      <w:pPr>
        <w:ind w:left="720" w:hanging="360"/>
      </w:pPr>
      <w:rPr>
        <w:rFonts w:ascii="Garamond" w:eastAsia="Times New Roman" w:hAnsi="Garamond"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5">
    <w:nsid w:val="3D2D2A5A"/>
    <w:multiLevelType w:val="hybridMultilevel"/>
    <w:tmpl w:val="E272D4DC"/>
    <w:lvl w:ilvl="0" w:tplc="BD561428">
      <w:numFmt w:val="bullet"/>
      <w:lvlText w:val="-"/>
      <w:lvlJc w:val="left"/>
      <w:pPr>
        <w:ind w:left="720" w:hanging="360"/>
      </w:pPr>
      <w:rPr>
        <w:rFonts w:ascii="Georgia" w:eastAsia="Times New Roman" w:hAnsi="Georgia"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nsid w:val="440B1967"/>
    <w:multiLevelType w:val="hybridMultilevel"/>
    <w:tmpl w:val="60BC7D04"/>
    <w:lvl w:ilvl="0" w:tplc="E8EC5EF2">
      <w:start w:val="3"/>
      <w:numFmt w:val="bullet"/>
      <w:lvlText w:val="-"/>
      <w:lvlJc w:val="left"/>
      <w:pPr>
        <w:ind w:left="720" w:hanging="360"/>
      </w:pPr>
      <w:rPr>
        <w:rFonts w:ascii="Garamond" w:eastAsia="Times New Roman" w:hAnsi="Garamond"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nsid w:val="4598152C"/>
    <w:multiLevelType w:val="multilevel"/>
    <w:tmpl w:val="CB006C3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76D731D"/>
    <w:multiLevelType w:val="hybridMultilevel"/>
    <w:tmpl w:val="FF36831E"/>
    <w:lvl w:ilvl="0" w:tplc="340A0011">
      <w:start w:val="1"/>
      <w:numFmt w:val="decimal"/>
      <w:lvlText w:val="%1)"/>
      <w:lvlJc w:val="left"/>
      <w:pPr>
        <w:tabs>
          <w:tab w:val="num" w:pos="1068"/>
        </w:tabs>
        <w:ind w:left="1068" w:hanging="360"/>
      </w:pPr>
      <w:rPr>
        <w:rFonts w:hint="default"/>
      </w:rPr>
    </w:lvl>
    <w:lvl w:ilvl="1" w:tplc="340A0001">
      <w:start w:val="1"/>
      <w:numFmt w:val="bullet"/>
      <w:lvlText w:val=""/>
      <w:lvlJc w:val="left"/>
      <w:pPr>
        <w:tabs>
          <w:tab w:val="num" w:pos="1788"/>
        </w:tabs>
        <w:ind w:left="1788" w:hanging="360"/>
      </w:pPr>
      <w:rPr>
        <w:rFonts w:ascii="Symbol" w:hAnsi="Symbol" w:hint="default"/>
      </w:rPr>
    </w:lvl>
    <w:lvl w:ilvl="2" w:tplc="340A001B" w:tentative="1">
      <w:start w:val="1"/>
      <w:numFmt w:val="lowerRoman"/>
      <w:lvlText w:val="%3."/>
      <w:lvlJc w:val="right"/>
      <w:pPr>
        <w:tabs>
          <w:tab w:val="num" w:pos="2508"/>
        </w:tabs>
        <w:ind w:left="2508" w:hanging="180"/>
      </w:pPr>
    </w:lvl>
    <w:lvl w:ilvl="3" w:tplc="340A000F" w:tentative="1">
      <w:start w:val="1"/>
      <w:numFmt w:val="decimal"/>
      <w:lvlText w:val="%4."/>
      <w:lvlJc w:val="left"/>
      <w:pPr>
        <w:tabs>
          <w:tab w:val="num" w:pos="3228"/>
        </w:tabs>
        <w:ind w:left="3228" w:hanging="360"/>
      </w:pPr>
    </w:lvl>
    <w:lvl w:ilvl="4" w:tplc="340A0019" w:tentative="1">
      <w:start w:val="1"/>
      <w:numFmt w:val="lowerLetter"/>
      <w:lvlText w:val="%5."/>
      <w:lvlJc w:val="left"/>
      <w:pPr>
        <w:tabs>
          <w:tab w:val="num" w:pos="3948"/>
        </w:tabs>
        <w:ind w:left="3948" w:hanging="360"/>
      </w:pPr>
    </w:lvl>
    <w:lvl w:ilvl="5" w:tplc="340A001B" w:tentative="1">
      <w:start w:val="1"/>
      <w:numFmt w:val="lowerRoman"/>
      <w:lvlText w:val="%6."/>
      <w:lvlJc w:val="right"/>
      <w:pPr>
        <w:tabs>
          <w:tab w:val="num" w:pos="4668"/>
        </w:tabs>
        <w:ind w:left="4668" w:hanging="180"/>
      </w:pPr>
    </w:lvl>
    <w:lvl w:ilvl="6" w:tplc="340A000F" w:tentative="1">
      <w:start w:val="1"/>
      <w:numFmt w:val="decimal"/>
      <w:lvlText w:val="%7."/>
      <w:lvlJc w:val="left"/>
      <w:pPr>
        <w:tabs>
          <w:tab w:val="num" w:pos="5388"/>
        </w:tabs>
        <w:ind w:left="5388" w:hanging="360"/>
      </w:pPr>
    </w:lvl>
    <w:lvl w:ilvl="7" w:tplc="340A0019" w:tentative="1">
      <w:start w:val="1"/>
      <w:numFmt w:val="lowerLetter"/>
      <w:lvlText w:val="%8."/>
      <w:lvlJc w:val="left"/>
      <w:pPr>
        <w:tabs>
          <w:tab w:val="num" w:pos="6108"/>
        </w:tabs>
        <w:ind w:left="6108" w:hanging="360"/>
      </w:pPr>
    </w:lvl>
    <w:lvl w:ilvl="8" w:tplc="340A001B" w:tentative="1">
      <w:start w:val="1"/>
      <w:numFmt w:val="lowerRoman"/>
      <w:lvlText w:val="%9."/>
      <w:lvlJc w:val="right"/>
      <w:pPr>
        <w:tabs>
          <w:tab w:val="num" w:pos="6828"/>
        </w:tabs>
        <w:ind w:left="6828" w:hanging="180"/>
      </w:pPr>
    </w:lvl>
  </w:abstractNum>
  <w:abstractNum w:abstractNumId="19">
    <w:nsid w:val="4B291933"/>
    <w:multiLevelType w:val="hybridMultilevel"/>
    <w:tmpl w:val="1708F7D2"/>
    <w:lvl w:ilvl="0" w:tplc="603666BE">
      <w:start w:val="1"/>
      <w:numFmt w:val="lowerLetter"/>
      <w:lvlText w:val="%1)"/>
      <w:lvlJc w:val="left"/>
      <w:pPr>
        <w:ind w:left="360" w:hanging="360"/>
      </w:pPr>
      <w:rPr>
        <w:rFonts w:cs="Times New Roman" w:hint="default"/>
      </w:rPr>
    </w:lvl>
    <w:lvl w:ilvl="1" w:tplc="340A0019" w:tentative="1">
      <w:start w:val="1"/>
      <w:numFmt w:val="lowerLetter"/>
      <w:lvlText w:val="%2."/>
      <w:lvlJc w:val="left"/>
      <w:pPr>
        <w:ind w:left="1080" w:hanging="360"/>
      </w:pPr>
      <w:rPr>
        <w:rFonts w:cs="Times New Roman"/>
      </w:rPr>
    </w:lvl>
    <w:lvl w:ilvl="2" w:tplc="340A001B" w:tentative="1">
      <w:start w:val="1"/>
      <w:numFmt w:val="lowerRoman"/>
      <w:lvlText w:val="%3."/>
      <w:lvlJc w:val="right"/>
      <w:pPr>
        <w:ind w:left="1800" w:hanging="180"/>
      </w:pPr>
      <w:rPr>
        <w:rFonts w:cs="Times New Roman"/>
      </w:rPr>
    </w:lvl>
    <w:lvl w:ilvl="3" w:tplc="340A000F" w:tentative="1">
      <w:start w:val="1"/>
      <w:numFmt w:val="decimal"/>
      <w:lvlText w:val="%4."/>
      <w:lvlJc w:val="left"/>
      <w:pPr>
        <w:ind w:left="2520" w:hanging="360"/>
      </w:pPr>
      <w:rPr>
        <w:rFonts w:cs="Times New Roman"/>
      </w:rPr>
    </w:lvl>
    <w:lvl w:ilvl="4" w:tplc="340A0019" w:tentative="1">
      <w:start w:val="1"/>
      <w:numFmt w:val="lowerLetter"/>
      <w:lvlText w:val="%5."/>
      <w:lvlJc w:val="left"/>
      <w:pPr>
        <w:ind w:left="3240" w:hanging="360"/>
      </w:pPr>
      <w:rPr>
        <w:rFonts w:cs="Times New Roman"/>
      </w:rPr>
    </w:lvl>
    <w:lvl w:ilvl="5" w:tplc="340A001B" w:tentative="1">
      <w:start w:val="1"/>
      <w:numFmt w:val="lowerRoman"/>
      <w:lvlText w:val="%6."/>
      <w:lvlJc w:val="right"/>
      <w:pPr>
        <w:ind w:left="3960" w:hanging="180"/>
      </w:pPr>
      <w:rPr>
        <w:rFonts w:cs="Times New Roman"/>
      </w:rPr>
    </w:lvl>
    <w:lvl w:ilvl="6" w:tplc="340A000F" w:tentative="1">
      <w:start w:val="1"/>
      <w:numFmt w:val="decimal"/>
      <w:lvlText w:val="%7."/>
      <w:lvlJc w:val="left"/>
      <w:pPr>
        <w:ind w:left="4680" w:hanging="360"/>
      </w:pPr>
      <w:rPr>
        <w:rFonts w:cs="Times New Roman"/>
      </w:rPr>
    </w:lvl>
    <w:lvl w:ilvl="7" w:tplc="340A0019" w:tentative="1">
      <w:start w:val="1"/>
      <w:numFmt w:val="lowerLetter"/>
      <w:lvlText w:val="%8."/>
      <w:lvlJc w:val="left"/>
      <w:pPr>
        <w:ind w:left="5400" w:hanging="360"/>
      </w:pPr>
      <w:rPr>
        <w:rFonts w:cs="Times New Roman"/>
      </w:rPr>
    </w:lvl>
    <w:lvl w:ilvl="8" w:tplc="340A001B" w:tentative="1">
      <w:start w:val="1"/>
      <w:numFmt w:val="lowerRoman"/>
      <w:lvlText w:val="%9."/>
      <w:lvlJc w:val="right"/>
      <w:pPr>
        <w:ind w:left="6120" w:hanging="180"/>
      </w:pPr>
      <w:rPr>
        <w:rFonts w:cs="Times New Roman"/>
      </w:rPr>
    </w:lvl>
  </w:abstractNum>
  <w:abstractNum w:abstractNumId="20">
    <w:nsid w:val="522C2A05"/>
    <w:multiLevelType w:val="hybridMultilevel"/>
    <w:tmpl w:val="FF36831E"/>
    <w:lvl w:ilvl="0" w:tplc="340A0011">
      <w:start w:val="1"/>
      <w:numFmt w:val="decimal"/>
      <w:lvlText w:val="%1)"/>
      <w:lvlJc w:val="left"/>
      <w:pPr>
        <w:tabs>
          <w:tab w:val="num" w:pos="1068"/>
        </w:tabs>
        <w:ind w:left="1068" w:hanging="360"/>
      </w:pPr>
      <w:rPr>
        <w:rFonts w:hint="default"/>
      </w:rPr>
    </w:lvl>
    <w:lvl w:ilvl="1" w:tplc="340A0001">
      <w:start w:val="1"/>
      <w:numFmt w:val="bullet"/>
      <w:lvlText w:val=""/>
      <w:lvlJc w:val="left"/>
      <w:pPr>
        <w:tabs>
          <w:tab w:val="num" w:pos="1788"/>
        </w:tabs>
        <w:ind w:left="1788" w:hanging="360"/>
      </w:pPr>
      <w:rPr>
        <w:rFonts w:ascii="Symbol" w:hAnsi="Symbol" w:hint="default"/>
      </w:rPr>
    </w:lvl>
    <w:lvl w:ilvl="2" w:tplc="340A001B" w:tentative="1">
      <w:start w:val="1"/>
      <w:numFmt w:val="lowerRoman"/>
      <w:lvlText w:val="%3."/>
      <w:lvlJc w:val="right"/>
      <w:pPr>
        <w:tabs>
          <w:tab w:val="num" w:pos="2508"/>
        </w:tabs>
        <w:ind w:left="2508" w:hanging="180"/>
      </w:pPr>
    </w:lvl>
    <w:lvl w:ilvl="3" w:tplc="340A000F" w:tentative="1">
      <w:start w:val="1"/>
      <w:numFmt w:val="decimal"/>
      <w:lvlText w:val="%4."/>
      <w:lvlJc w:val="left"/>
      <w:pPr>
        <w:tabs>
          <w:tab w:val="num" w:pos="3228"/>
        </w:tabs>
        <w:ind w:left="3228" w:hanging="360"/>
      </w:pPr>
    </w:lvl>
    <w:lvl w:ilvl="4" w:tplc="340A0019" w:tentative="1">
      <w:start w:val="1"/>
      <w:numFmt w:val="lowerLetter"/>
      <w:lvlText w:val="%5."/>
      <w:lvlJc w:val="left"/>
      <w:pPr>
        <w:tabs>
          <w:tab w:val="num" w:pos="3948"/>
        </w:tabs>
        <w:ind w:left="3948" w:hanging="360"/>
      </w:pPr>
    </w:lvl>
    <w:lvl w:ilvl="5" w:tplc="340A001B" w:tentative="1">
      <w:start w:val="1"/>
      <w:numFmt w:val="lowerRoman"/>
      <w:lvlText w:val="%6."/>
      <w:lvlJc w:val="right"/>
      <w:pPr>
        <w:tabs>
          <w:tab w:val="num" w:pos="4668"/>
        </w:tabs>
        <w:ind w:left="4668" w:hanging="180"/>
      </w:pPr>
    </w:lvl>
    <w:lvl w:ilvl="6" w:tplc="340A000F" w:tentative="1">
      <w:start w:val="1"/>
      <w:numFmt w:val="decimal"/>
      <w:lvlText w:val="%7."/>
      <w:lvlJc w:val="left"/>
      <w:pPr>
        <w:tabs>
          <w:tab w:val="num" w:pos="5388"/>
        </w:tabs>
        <w:ind w:left="5388" w:hanging="360"/>
      </w:pPr>
    </w:lvl>
    <w:lvl w:ilvl="7" w:tplc="340A0019" w:tentative="1">
      <w:start w:val="1"/>
      <w:numFmt w:val="lowerLetter"/>
      <w:lvlText w:val="%8."/>
      <w:lvlJc w:val="left"/>
      <w:pPr>
        <w:tabs>
          <w:tab w:val="num" w:pos="6108"/>
        </w:tabs>
        <w:ind w:left="6108" w:hanging="360"/>
      </w:pPr>
    </w:lvl>
    <w:lvl w:ilvl="8" w:tplc="340A001B" w:tentative="1">
      <w:start w:val="1"/>
      <w:numFmt w:val="lowerRoman"/>
      <w:lvlText w:val="%9."/>
      <w:lvlJc w:val="right"/>
      <w:pPr>
        <w:tabs>
          <w:tab w:val="num" w:pos="6828"/>
        </w:tabs>
        <w:ind w:left="6828" w:hanging="180"/>
      </w:pPr>
    </w:lvl>
  </w:abstractNum>
  <w:abstractNum w:abstractNumId="21">
    <w:nsid w:val="52B11B58"/>
    <w:multiLevelType w:val="hybridMultilevel"/>
    <w:tmpl w:val="C9265A80"/>
    <w:lvl w:ilvl="0" w:tplc="BD561428">
      <w:numFmt w:val="bullet"/>
      <w:lvlText w:val="-"/>
      <w:lvlJc w:val="left"/>
      <w:pPr>
        <w:ind w:left="720" w:hanging="360"/>
      </w:pPr>
      <w:rPr>
        <w:rFonts w:ascii="Georgia" w:eastAsia="Times New Roman" w:hAnsi="Georgia"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nsid w:val="555F77BA"/>
    <w:multiLevelType w:val="hybridMultilevel"/>
    <w:tmpl w:val="DDDCBA4A"/>
    <w:lvl w:ilvl="0" w:tplc="44C22306">
      <w:start w:val="3"/>
      <w:numFmt w:val="bullet"/>
      <w:lvlText w:val="-"/>
      <w:lvlJc w:val="left"/>
      <w:pPr>
        <w:tabs>
          <w:tab w:val="num" w:pos="1608"/>
        </w:tabs>
        <w:ind w:left="1608" w:hanging="900"/>
      </w:pPr>
      <w:rPr>
        <w:rFonts w:ascii="Times New Roman" w:eastAsia="Times New Roman" w:hAnsi="Times New Roman" w:cs="Times New Roman" w:hint="default"/>
      </w:rPr>
    </w:lvl>
    <w:lvl w:ilvl="1" w:tplc="340A0003" w:tentative="1">
      <w:start w:val="1"/>
      <w:numFmt w:val="bullet"/>
      <w:lvlText w:val="o"/>
      <w:lvlJc w:val="left"/>
      <w:pPr>
        <w:tabs>
          <w:tab w:val="num" w:pos="1788"/>
        </w:tabs>
        <w:ind w:left="1788" w:hanging="360"/>
      </w:pPr>
      <w:rPr>
        <w:rFonts w:ascii="Courier New" w:hAnsi="Courier New" w:cs="Wingdings" w:hint="default"/>
      </w:rPr>
    </w:lvl>
    <w:lvl w:ilvl="2" w:tplc="340A0005" w:tentative="1">
      <w:start w:val="1"/>
      <w:numFmt w:val="bullet"/>
      <w:lvlText w:val=""/>
      <w:lvlJc w:val="left"/>
      <w:pPr>
        <w:tabs>
          <w:tab w:val="num" w:pos="2508"/>
        </w:tabs>
        <w:ind w:left="2508" w:hanging="360"/>
      </w:pPr>
      <w:rPr>
        <w:rFonts w:ascii="Wingdings" w:hAnsi="Wingdings" w:hint="default"/>
      </w:rPr>
    </w:lvl>
    <w:lvl w:ilvl="3" w:tplc="340A0001" w:tentative="1">
      <w:start w:val="1"/>
      <w:numFmt w:val="bullet"/>
      <w:lvlText w:val=""/>
      <w:lvlJc w:val="left"/>
      <w:pPr>
        <w:tabs>
          <w:tab w:val="num" w:pos="3228"/>
        </w:tabs>
        <w:ind w:left="3228" w:hanging="360"/>
      </w:pPr>
      <w:rPr>
        <w:rFonts w:ascii="Symbol" w:hAnsi="Symbol" w:hint="default"/>
      </w:rPr>
    </w:lvl>
    <w:lvl w:ilvl="4" w:tplc="340A0003" w:tentative="1">
      <w:start w:val="1"/>
      <w:numFmt w:val="bullet"/>
      <w:lvlText w:val="o"/>
      <w:lvlJc w:val="left"/>
      <w:pPr>
        <w:tabs>
          <w:tab w:val="num" w:pos="3948"/>
        </w:tabs>
        <w:ind w:left="3948" w:hanging="360"/>
      </w:pPr>
      <w:rPr>
        <w:rFonts w:ascii="Courier New" w:hAnsi="Courier New" w:cs="Wingdings" w:hint="default"/>
      </w:rPr>
    </w:lvl>
    <w:lvl w:ilvl="5" w:tplc="340A0005" w:tentative="1">
      <w:start w:val="1"/>
      <w:numFmt w:val="bullet"/>
      <w:lvlText w:val=""/>
      <w:lvlJc w:val="left"/>
      <w:pPr>
        <w:tabs>
          <w:tab w:val="num" w:pos="4668"/>
        </w:tabs>
        <w:ind w:left="4668" w:hanging="360"/>
      </w:pPr>
      <w:rPr>
        <w:rFonts w:ascii="Wingdings" w:hAnsi="Wingdings" w:hint="default"/>
      </w:rPr>
    </w:lvl>
    <w:lvl w:ilvl="6" w:tplc="340A0001" w:tentative="1">
      <w:start w:val="1"/>
      <w:numFmt w:val="bullet"/>
      <w:lvlText w:val=""/>
      <w:lvlJc w:val="left"/>
      <w:pPr>
        <w:tabs>
          <w:tab w:val="num" w:pos="5388"/>
        </w:tabs>
        <w:ind w:left="5388" w:hanging="360"/>
      </w:pPr>
      <w:rPr>
        <w:rFonts w:ascii="Symbol" w:hAnsi="Symbol" w:hint="default"/>
      </w:rPr>
    </w:lvl>
    <w:lvl w:ilvl="7" w:tplc="340A0003" w:tentative="1">
      <w:start w:val="1"/>
      <w:numFmt w:val="bullet"/>
      <w:lvlText w:val="o"/>
      <w:lvlJc w:val="left"/>
      <w:pPr>
        <w:tabs>
          <w:tab w:val="num" w:pos="6108"/>
        </w:tabs>
        <w:ind w:left="6108" w:hanging="360"/>
      </w:pPr>
      <w:rPr>
        <w:rFonts w:ascii="Courier New" w:hAnsi="Courier New" w:cs="Wingdings" w:hint="default"/>
      </w:rPr>
    </w:lvl>
    <w:lvl w:ilvl="8" w:tplc="340A0005" w:tentative="1">
      <w:start w:val="1"/>
      <w:numFmt w:val="bullet"/>
      <w:lvlText w:val=""/>
      <w:lvlJc w:val="left"/>
      <w:pPr>
        <w:tabs>
          <w:tab w:val="num" w:pos="6828"/>
        </w:tabs>
        <w:ind w:left="6828" w:hanging="360"/>
      </w:pPr>
      <w:rPr>
        <w:rFonts w:ascii="Wingdings" w:hAnsi="Wingdings" w:hint="default"/>
      </w:rPr>
    </w:lvl>
  </w:abstractNum>
  <w:abstractNum w:abstractNumId="23">
    <w:nsid w:val="5AA96092"/>
    <w:multiLevelType w:val="hybridMultilevel"/>
    <w:tmpl w:val="16FAC142"/>
    <w:lvl w:ilvl="0" w:tplc="340A0017">
      <w:start w:val="1"/>
      <w:numFmt w:val="lowerLetter"/>
      <w:lvlText w:val="%1)"/>
      <w:lvlJc w:val="left"/>
      <w:pPr>
        <w:ind w:left="720" w:hanging="360"/>
      </w:pPr>
      <w:rPr>
        <w:rFonts w:hint="default"/>
      </w:rPr>
    </w:lvl>
    <w:lvl w:ilvl="1" w:tplc="340A0001">
      <w:start w:val="1"/>
      <w:numFmt w:val="bullet"/>
      <w:lvlText w:val=""/>
      <w:lvlJc w:val="left"/>
      <w:pPr>
        <w:tabs>
          <w:tab w:val="num" w:pos="1440"/>
        </w:tabs>
        <w:ind w:left="1440" w:hanging="360"/>
      </w:pPr>
      <w:rPr>
        <w:rFonts w:ascii="Symbol" w:hAnsi="Symbol" w:hint="default"/>
      </w:rPr>
    </w:lvl>
    <w:lvl w:ilvl="2" w:tplc="340A0001">
      <w:start w:val="1"/>
      <w:numFmt w:val="bullet"/>
      <w:lvlText w:val=""/>
      <w:lvlJc w:val="left"/>
      <w:pPr>
        <w:tabs>
          <w:tab w:val="num" w:pos="2340"/>
        </w:tabs>
        <w:ind w:left="2340" w:hanging="360"/>
      </w:pPr>
      <w:rPr>
        <w:rFonts w:ascii="Symbol" w:hAnsi="Symbol" w:hint="default"/>
      </w:r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4">
    <w:nsid w:val="5C9F7889"/>
    <w:multiLevelType w:val="hybridMultilevel"/>
    <w:tmpl w:val="CB006C3C"/>
    <w:lvl w:ilvl="0" w:tplc="340A0017">
      <w:start w:val="1"/>
      <w:numFmt w:val="lowerLetter"/>
      <w:lvlText w:val="%1)"/>
      <w:lvlJc w:val="left"/>
      <w:pPr>
        <w:ind w:left="720" w:hanging="360"/>
      </w:pPr>
      <w:rPr>
        <w:rFonts w:hint="default"/>
      </w:rPr>
    </w:lvl>
    <w:lvl w:ilvl="1" w:tplc="340A0019">
      <w:start w:val="1"/>
      <w:numFmt w:val="lowerLetter"/>
      <w:lvlText w:val="%2."/>
      <w:lvlJc w:val="left"/>
      <w:pPr>
        <w:ind w:left="1440" w:hanging="360"/>
      </w:pPr>
    </w:lvl>
    <w:lvl w:ilvl="2" w:tplc="340A0001">
      <w:start w:val="1"/>
      <w:numFmt w:val="bullet"/>
      <w:lvlText w:val=""/>
      <w:lvlJc w:val="left"/>
      <w:pPr>
        <w:tabs>
          <w:tab w:val="num" w:pos="2340"/>
        </w:tabs>
        <w:ind w:left="2340" w:hanging="360"/>
      </w:pPr>
      <w:rPr>
        <w:rFonts w:ascii="Symbol" w:hAnsi="Symbol" w:hint="default"/>
      </w:r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nsid w:val="5EDC79AF"/>
    <w:multiLevelType w:val="hybridMultilevel"/>
    <w:tmpl w:val="297CFA7C"/>
    <w:lvl w:ilvl="0" w:tplc="BD561428">
      <w:numFmt w:val="bullet"/>
      <w:lvlText w:val="-"/>
      <w:lvlJc w:val="left"/>
      <w:pPr>
        <w:ind w:left="720" w:hanging="360"/>
      </w:pPr>
      <w:rPr>
        <w:rFonts w:ascii="Georgia" w:eastAsia="Times New Roman" w:hAnsi="Georgia"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6">
    <w:nsid w:val="62912D0E"/>
    <w:multiLevelType w:val="hybridMultilevel"/>
    <w:tmpl w:val="AC72FB94"/>
    <w:lvl w:ilvl="0" w:tplc="340A0011">
      <w:start w:val="1"/>
      <w:numFmt w:val="decimal"/>
      <w:lvlText w:val="%1)"/>
      <w:lvlJc w:val="left"/>
      <w:pPr>
        <w:tabs>
          <w:tab w:val="num" w:pos="720"/>
        </w:tabs>
        <w:ind w:left="720" w:hanging="360"/>
      </w:pPr>
      <w:rPr>
        <w:rFonts w:cs="Times New Roman" w:hint="default"/>
      </w:rPr>
    </w:lvl>
    <w:lvl w:ilvl="1" w:tplc="F490F538">
      <w:start w:val="1"/>
      <w:numFmt w:val="lowerLetter"/>
      <w:lvlText w:val="%2)"/>
      <w:lvlJc w:val="left"/>
      <w:pPr>
        <w:tabs>
          <w:tab w:val="num" w:pos="1680"/>
        </w:tabs>
        <w:ind w:left="1680" w:hanging="600"/>
      </w:pPr>
      <w:rPr>
        <w:rFonts w:cs="Times New Roman" w:hint="default"/>
      </w:rPr>
    </w:lvl>
    <w:lvl w:ilvl="2" w:tplc="340A001B">
      <w:start w:val="1"/>
      <w:numFmt w:val="lowerRoman"/>
      <w:lvlText w:val="%3."/>
      <w:lvlJc w:val="right"/>
      <w:pPr>
        <w:tabs>
          <w:tab w:val="num" w:pos="2160"/>
        </w:tabs>
        <w:ind w:left="2160" w:hanging="180"/>
      </w:pPr>
      <w:rPr>
        <w:rFonts w:cs="Times New Roman"/>
      </w:rPr>
    </w:lvl>
    <w:lvl w:ilvl="3" w:tplc="340A000F" w:tentative="1">
      <w:start w:val="1"/>
      <w:numFmt w:val="decimal"/>
      <w:lvlText w:val="%4."/>
      <w:lvlJc w:val="left"/>
      <w:pPr>
        <w:tabs>
          <w:tab w:val="num" w:pos="2880"/>
        </w:tabs>
        <w:ind w:left="2880" w:hanging="360"/>
      </w:pPr>
      <w:rPr>
        <w:rFonts w:cs="Times New Roman"/>
      </w:rPr>
    </w:lvl>
    <w:lvl w:ilvl="4" w:tplc="340A0019" w:tentative="1">
      <w:start w:val="1"/>
      <w:numFmt w:val="lowerLetter"/>
      <w:lvlText w:val="%5."/>
      <w:lvlJc w:val="left"/>
      <w:pPr>
        <w:tabs>
          <w:tab w:val="num" w:pos="3600"/>
        </w:tabs>
        <w:ind w:left="3600" w:hanging="360"/>
      </w:pPr>
      <w:rPr>
        <w:rFonts w:cs="Times New Roman"/>
      </w:rPr>
    </w:lvl>
    <w:lvl w:ilvl="5" w:tplc="340A001B" w:tentative="1">
      <w:start w:val="1"/>
      <w:numFmt w:val="lowerRoman"/>
      <w:lvlText w:val="%6."/>
      <w:lvlJc w:val="right"/>
      <w:pPr>
        <w:tabs>
          <w:tab w:val="num" w:pos="4320"/>
        </w:tabs>
        <w:ind w:left="4320" w:hanging="180"/>
      </w:pPr>
      <w:rPr>
        <w:rFonts w:cs="Times New Roman"/>
      </w:rPr>
    </w:lvl>
    <w:lvl w:ilvl="6" w:tplc="340A000F" w:tentative="1">
      <w:start w:val="1"/>
      <w:numFmt w:val="decimal"/>
      <w:lvlText w:val="%7."/>
      <w:lvlJc w:val="left"/>
      <w:pPr>
        <w:tabs>
          <w:tab w:val="num" w:pos="5040"/>
        </w:tabs>
        <w:ind w:left="5040" w:hanging="360"/>
      </w:pPr>
      <w:rPr>
        <w:rFonts w:cs="Times New Roman"/>
      </w:rPr>
    </w:lvl>
    <w:lvl w:ilvl="7" w:tplc="340A0019" w:tentative="1">
      <w:start w:val="1"/>
      <w:numFmt w:val="lowerLetter"/>
      <w:lvlText w:val="%8."/>
      <w:lvlJc w:val="left"/>
      <w:pPr>
        <w:tabs>
          <w:tab w:val="num" w:pos="5760"/>
        </w:tabs>
        <w:ind w:left="5760" w:hanging="360"/>
      </w:pPr>
      <w:rPr>
        <w:rFonts w:cs="Times New Roman"/>
      </w:rPr>
    </w:lvl>
    <w:lvl w:ilvl="8" w:tplc="340A001B" w:tentative="1">
      <w:start w:val="1"/>
      <w:numFmt w:val="lowerRoman"/>
      <w:lvlText w:val="%9."/>
      <w:lvlJc w:val="right"/>
      <w:pPr>
        <w:tabs>
          <w:tab w:val="num" w:pos="6480"/>
        </w:tabs>
        <w:ind w:left="6480" w:hanging="180"/>
      </w:pPr>
      <w:rPr>
        <w:rFonts w:cs="Times New Roman"/>
      </w:rPr>
    </w:lvl>
  </w:abstractNum>
  <w:abstractNum w:abstractNumId="27">
    <w:nsid w:val="696D40CF"/>
    <w:multiLevelType w:val="multilevel"/>
    <w:tmpl w:val="17DCD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BF0A74"/>
    <w:multiLevelType w:val="hybridMultilevel"/>
    <w:tmpl w:val="FF36831E"/>
    <w:lvl w:ilvl="0" w:tplc="340A0011">
      <w:start w:val="1"/>
      <w:numFmt w:val="decimal"/>
      <w:lvlText w:val="%1)"/>
      <w:lvlJc w:val="left"/>
      <w:pPr>
        <w:tabs>
          <w:tab w:val="num" w:pos="720"/>
        </w:tabs>
        <w:ind w:left="720" w:hanging="360"/>
      </w:pPr>
      <w:rPr>
        <w:rFonts w:hint="default"/>
      </w:rPr>
    </w:lvl>
    <w:lvl w:ilvl="1" w:tplc="340A0001">
      <w:start w:val="1"/>
      <w:numFmt w:val="bullet"/>
      <w:lvlText w:val=""/>
      <w:lvlJc w:val="left"/>
      <w:pPr>
        <w:tabs>
          <w:tab w:val="num" w:pos="1440"/>
        </w:tabs>
        <w:ind w:left="1440" w:hanging="360"/>
      </w:pPr>
      <w:rPr>
        <w:rFonts w:ascii="Symbol" w:hAnsi="Symbol" w:hint="default"/>
      </w:r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29">
    <w:nsid w:val="6BEA4E30"/>
    <w:multiLevelType w:val="hybridMultilevel"/>
    <w:tmpl w:val="84E6E096"/>
    <w:lvl w:ilvl="0" w:tplc="340A0017">
      <w:start w:val="1"/>
      <w:numFmt w:val="lowerLetter"/>
      <w:lvlText w:val="%1)"/>
      <w:lvlJc w:val="left"/>
      <w:pPr>
        <w:ind w:left="720" w:hanging="360"/>
      </w:pPr>
      <w:rPr>
        <w:rFonts w:hint="default"/>
      </w:rPr>
    </w:lvl>
    <w:lvl w:ilvl="1" w:tplc="340A0001">
      <w:start w:val="1"/>
      <w:numFmt w:val="bullet"/>
      <w:lvlText w:val=""/>
      <w:lvlJc w:val="left"/>
      <w:pPr>
        <w:tabs>
          <w:tab w:val="num" w:pos="1440"/>
        </w:tabs>
        <w:ind w:left="1440" w:hanging="360"/>
      </w:pPr>
      <w:rPr>
        <w:rFonts w:ascii="Symbol" w:hAnsi="Symbol" w:hint="default"/>
      </w:rPr>
    </w:lvl>
    <w:lvl w:ilvl="2" w:tplc="340A0001">
      <w:start w:val="1"/>
      <w:numFmt w:val="bullet"/>
      <w:lvlText w:val=""/>
      <w:lvlJc w:val="left"/>
      <w:pPr>
        <w:tabs>
          <w:tab w:val="num" w:pos="2340"/>
        </w:tabs>
        <w:ind w:left="2340" w:hanging="360"/>
      </w:pPr>
      <w:rPr>
        <w:rFonts w:ascii="Symbol" w:hAnsi="Symbol" w:hint="default"/>
      </w:r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nsid w:val="7085723A"/>
    <w:multiLevelType w:val="hybridMultilevel"/>
    <w:tmpl w:val="FCE0D1C6"/>
    <w:lvl w:ilvl="0" w:tplc="340A0001">
      <w:start w:val="1"/>
      <w:numFmt w:val="bullet"/>
      <w:lvlText w:val=""/>
      <w:lvlJc w:val="left"/>
      <w:pPr>
        <w:tabs>
          <w:tab w:val="num" w:pos="1428"/>
        </w:tabs>
        <w:ind w:left="1428" w:hanging="360"/>
      </w:pPr>
      <w:rPr>
        <w:rFonts w:ascii="Symbol" w:hAnsi="Symbol" w:hint="default"/>
      </w:rPr>
    </w:lvl>
    <w:lvl w:ilvl="1" w:tplc="340A0003" w:tentative="1">
      <w:start w:val="1"/>
      <w:numFmt w:val="bullet"/>
      <w:lvlText w:val="o"/>
      <w:lvlJc w:val="left"/>
      <w:pPr>
        <w:tabs>
          <w:tab w:val="num" w:pos="2148"/>
        </w:tabs>
        <w:ind w:left="2148" w:hanging="360"/>
      </w:pPr>
      <w:rPr>
        <w:rFonts w:ascii="Courier New" w:hAnsi="Courier New" w:cs="Wingdings" w:hint="default"/>
      </w:rPr>
    </w:lvl>
    <w:lvl w:ilvl="2" w:tplc="340A0005" w:tentative="1">
      <w:start w:val="1"/>
      <w:numFmt w:val="bullet"/>
      <w:lvlText w:val=""/>
      <w:lvlJc w:val="left"/>
      <w:pPr>
        <w:tabs>
          <w:tab w:val="num" w:pos="2868"/>
        </w:tabs>
        <w:ind w:left="2868" w:hanging="360"/>
      </w:pPr>
      <w:rPr>
        <w:rFonts w:ascii="Wingdings" w:hAnsi="Wingdings" w:hint="default"/>
      </w:rPr>
    </w:lvl>
    <w:lvl w:ilvl="3" w:tplc="340A0001" w:tentative="1">
      <w:start w:val="1"/>
      <w:numFmt w:val="bullet"/>
      <w:lvlText w:val=""/>
      <w:lvlJc w:val="left"/>
      <w:pPr>
        <w:tabs>
          <w:tab w:val="num" w:pos="3588"/>
        </w:tabs>
        <w:ind w:left="3588" w:hanging="360"/>
      </w:pPr>
      <w:rPr>
        <w:rFonts w:ascii="Symbol" w:hAnsi="Symbol" w:hint="default"/>
      </w:rPr>
    </w:lvl>
    <w:lvl w:ilvl="4" w:tplc="340A0003" w:tentative="1">
      <w:start w:val="1"/>
      <w:numFmt w:val="bullet"/>
      <w:lvlText w:val="o"/>
      <w:lvlJc w:val="left"/>
      <w:pPr>
        <w:tabs>
          <w:tab w:val="num" w:pos="4308"/>
        </w:tabs>
        <w:ind w:left="4308" w:hanging="360"/>
      </w:pPr>
      <w:rPr>
        <w:rFonts w:ascii="Courier New" w:hAnsi="Courier New" w:cs="Wingdings" w:hint="default"/>
      </w:rPr>
    </w:lvl>
    <w:lvl w:ilvl="5" w:tplc="340A0005" w:tentative="1">
      <w:start w:val="1"/>
      <w:numFmt w:val="bullet"/>
      <w:lvlText w:val=""/>
      <w:lvlJc w:val="left"/>
      <w:pPr>
        <w:tabs>
          <w:tab w:val="num" w:pos="5028"/>
        </w:tabs>
        <w:ind w:left="5028" w:hanging="360"/>
      </w:pPr>
      <w:rPr>
        <w:rFonts w:ascii="Wingdings" w:hAnsi="Wingdings" w:hint="default"/>
      </w:rPr>
    </w:lvl>
    <w:lvl w:ilvl="6" w:tplc="340A0001" w:tentative="1">
      <w:start w:val="1"/>
      <w:numFmt w:val="bullet"/>
      <w:lvlText w:val=""/>
      <w:lvlJc w:val="left"/>
      <w:pPr>
        <w:tabs>
          <w:tab w:val="num" w:pos="5748"/>
        </w:tabs>
        <w:ind w:left="5748" w:hanging="360"/>
      </w:pPr>
      <w:rPr>
        <w:rFonts w:ascii="Symbol" w:hAnsi="Symbol" w:hint="default"/>
      </w:rPr>
    </w:lvl>
    <w:lvl w:ilvl="7" w:tplc="340A0003" w:tentative="1">
      <w:start w:val="1"/>
      <w:numFmt w:val="bullet"/>
      <w:lvlText w:val="o"/>
      <w:lvlJc w:val="left"/>
      <w:pPr>
        <w:tabs>
          <w:tab w:val="num" w:pos="6468"/>
        </w:tabs>
        <w:ind w:left="6468" w:hanging="360"/>
      </w:pPr>
      <w:rPr>
        <w:rFonts w:ascii="Courier New" w:hAnsi="Courier New" w:cs="Wingdings" w:hint="default"/>
      </w:rPr>
    </w:lvl>
    <w:lvl w:ilvl="8" w:tplc="340A0005" w:tentative="1">
      <w:start w:val="1"/>
      <w:numFmt w:val="bullet"/>
      <w:lvlText w:val=""/>
      <w:lvlJc w:val="left"/>
      <w:pPr>
        <w:tabs>
          <w:tab w:val="num" w:pos="7188"/>
        </w:tabs>
        <w:ind w:left="7188" w:hanging="360"/>
      </w:pPr>
      <w:rPr>
        <w:rFonts w:ascii="Wingdings" w:hAnsi="Wingdings" w:hint="default"/>
      </w:rPr>
    </w:lvl>
  </w:abstractNum>
  <w:abstractNum w:abstractNumId="31">
    <w:nsid w:val="70B058C3"/>
    <w:multiLevelType w:val="hybridMultilevel"/>
    <w:tmpl w:val="E3E09004"/>
    <w:lvl w:ilvl="0" w:tplc="340A0017">
      <w:start w:val="1"/>
      <w:numFmt w:val="lowerLetter"/>
      <w:lvlText w:val="%1)"/>
      <w:lvlJc w:val="left"/>
      <w:pPr>
        <w:tabs>
          <w:tab w:val="num" w:pos="720"/>
        </w:tabs>
        <w:ind w:left="720" w:hanging="360"/>
      </w:pPr>
    </w:lvl>
    <w:lvl w:ilvl="1" w:tplc="340A0019">
      <w:start w:val="1"/>
      <w:numFmt w:val="lowerLetter"/>
      <w:lvlText w:val="%2."/>
      <w:lvlJc w:val="left"/>
      <w:pPr>
        <w:tabs>
          <w:tab w:val="num" w:pos="1440"/>
        </w:tabs>
        <w:ind w:left="1440" w:hanging="360"/>
      </w:pPr>
    </w:lvl>
    <w:lvl w:ilvl="2" w:tplc="340A001B">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32">
    <w:nsid w:val="744F3907"/>
    <w:multiLevelType w:val="hybridMultilevel"/>
    <w:tmpl w:val="EACE82F2"/>
    <w:lvl w:ilvl="0" w:tplc="340A0001">
      <w:start w:val="1"/>
      <w:numFmt w:val="bullet"/>
      <w:lvlText w:val=""/>
      <w:lvlJc w:val="left"/>
      <w:pPr>
        <w:tabs>
          <w:tab w:val="num" w:pos="720"/>
        </w:tabs>
        <w:ind w:left="720" w:hanging="360"/>
      </w:pPr>
      <w:rPr>
        <w:rFonts w:ascii="Symbol" w:hAnsi="Symbol" w:hint="default"/>
      </w:rPr>
    </w:lvl>
    <w:lvl w:ilvl="1" w:tplc="340A0003" w:tentative="1">
      <w:start w:val="1"/>
      <w:numFmt w:val="bullet"/>
      <w:lvlText w:val="o"/>
      <w:lvlJc w:val="left"/>
      <w:pPr>
        <w:tabs>
          <w:tab w:val="num" w:pos="1440"/>
        </w:tabs>
        <w:ind w:left="1440" w:hanging="360"/>
      </w:pPr>
      <w:rPr>
        <w:rFonts w:ascii="Courier New" w:hAnsi="Courier New" w:cs="Wingdings" w:hint="default"/>
      </w:rPr>
    </w:lvl>
    <w:lvl w:ilvl="2" w:tplc="340A0005" w:tentative="1">
      <w:start w:val="1"/>
      <w:numFmt w:val="bullet"/>
      <w:lvlText w:val=""/>
      <w:lvlJc w:val="left"/>
      <w:pPr>
        <w:tabs>
          <w:tab w:val="num" w:pos="2160"/>
        </w:tabs>
        <w:ind w:left="2160" w:hanging="360"/>
      </w:pPr>
      <w:rPr>
        <w:rFonts w:ascii="Wingdings" w:hAnsi="Wingdings" w:hint="default"/>
      </w:rPr>
    </w:lvl>
    <w:lvl w:ilvl="3" w:tplc="340A0001" w:tentative="1">
      <w:start w:val="1"/>
      <w:numFmt w:val="bullet"/>
      <w:lvlText w:val=""/>
      <w:lvlJc w:val="left"/>
      <w:pPr>
        <w:tabs>
          <w:tab w:val="num" w:pos="2880"/>
        </w:tabs>
        <w:ind w:left="2880" w:hanging="360"/>
      </w:pPr>
      <w:rPr>
        <w:rFonts w:ascii="Symbol" w:hAnsi="Symbol" w:hint="default"/>
      </w:rPr>
    </w:lvl>
    <w:lvl w:ilvl="4" w:tplc="340A0003" w:tentative="1">
      <w:start w:val="1"/>
      <w:numFmt w:val="bullet"/>
      <w:lvlText w:val="o"/>
      <w:lvlJc w:val="left"/>
      <w:pPr>
        <w:tabs>
          <w:tab w:val="num" w:pos="3600"/>
        </w:tabs>
        <w:ind w:left="3600" w:hanging="360"/>
      </w:pPr>
      <w:rPr>
        <w:rFonts w:ascii="Courier New" w:hAnsi="Courier New" w:cs="Wingdings" w:hint="default"/>
      </w:rPr>
    </w:lvl>
    <w:lvl w:ilvl="5" w:tplc="340A0005" w:tentative="1">
      <w:start w:val="1"/>
      <w:numFmt w:val="bullet"/>
      <w:lvlText w:val=""/>
      <w:lvlJc w:val="left"/>
      <w:pPr>
        <w:tabs>
          <w:tab w:val="num" w:pos="4320"/>
        </w:tabs>
        <w:ind w:left="4320" w:hanging="360"/>
      </w:pPr>
      <w:rPr>
        <w:rFonts w:ascii="Wingdings" w:hAnsi="Wingdings" w:hint="default"/>
      </w:rPr>
    </w:lvl>
    <w:lvl w:ilvl="6" w:tplc="340A0001" w:tentative="1">
      <w:start w:val="1"/>
      <w:numFmt w:val="bullet"/>
      <w:lvlText w:val=""/>
      <w:lvlJc w:val="left"/>
      <w:pPr>
        <w:tabs>
          <w:tab w:val="num" w:pos="5040"/>
        </w:tabs>
        <w:ind w:left="5040" w:hanging="360"/>
      </w:pPr>
      <w:rPr>
        <w:rFonts w:ascii="Symbol" w:hAnsi="Symbol" w:hint="default"/>
      </w:rPr>
    </w:lvl>
    <w:lvl w:ilvl="7" w:tplc="340A0003" w:tentative="1">
      <w:start w:val="1"/>
      <w:numFmt w:val="bullet"/>
      <w:lvlText w:val="o"/>
      <w:lvlJc w:val="left"/>
      <w:pPr>
        <w:tabs>
          <w:tab w:val="num" w:pos="5760"/>
        </w:tabs>
        <w:ind w:left="5760" w:hanging="360"/>
      </w:pPr>
      <w:rPr>
        <w:rFonts w:ascii="Courier New" w:hAnsi="Courier New" w:cs="Wingdings" w:hint="default"/>
      </w:rPr>
    </w:lvl>
    <w:lvl w:ilvl="8" w:tplc="340A0005" w:tentative="1">
      <w:start w:val="1"/>
      <w:numFmt w:val="bullet"/>
      <w:lvlText w:val=""/>
      <w:lvlJc w:val="left"/>
      <w:pPr>
        <w:tabs>
          <w:tab w:val="num" w:pos="6480"/>
        </w:tabs>
        <w:ind w:left="6480" w:hanging="360"/>
      </w:pPr>
      <w:rPr>
        <w:rFonts w:ascii="Wingdings" w:hAnsi="Wingdings" w:hint="default"/>
      </w:rPr>
    </w:lvl>
  </w:abstractNum>
  <w:abstractNum w:abstractNumId="33">
    <w:nsid w:val="795E5B69"/>
    <w:multiLevelType w:val="hybridMultilevel"/>
    <w:tmpl w:val="84705736"/>
    <w:lvl w:ilvl="0" w:tplc="340A0017">
      <w:start w:val="1"/>
      <w:numFmt w:val="lowerLetter"/>
      <w:lvlText w:val="%1)"/>
      <w:lvlJc w:val="left"/>
      <w:pPr>
        <w:tabs>
          <w:tab w:val="num" w:pos="720"/>
        </w:tabs>
        <w:ind w:left="720" w:hanging="360"/>
      </w:pPr>
      <w:rPr>
        <w:rFonts w:hint="default"/>
      </w:rPr>
    </w:lvl>
    <w:lvl w:ilvl="1" w:tplc="340A0019" w:tentative="1">
      <w:start w:val="1"/>
      <w:numFmt w:val="lowerLetter"/>
      <w:lvlText w:val="%2."/>
      <w:lvlJc w:val="left"/>
      <w:pPr>
        <w:tabs>
          <w:tab w:val="num" w:pos="1440"/>
        </w:tabs>
        <w:ind w:left="1440" w:hanging="360"/>
      </w:pPr>
    </w:lvl>
    <w:lvl w:ilvl="2" w:tplc="340A001B" w:tentative="1">
      <w:start w:val="1"/>
      <w:numFmt w:val="lowerRoman"/>
      <w:lvlText w:val="%3."/>
      <w:lvlJc w:val="right"/>
      <w:pPr>
        <w:tabs>
          <w:tab w:val="num" w:pos="2160"/>
        </w:tabs>
        <w:ind w:left="2160" w:hanging="180"/>
      </w:pPr>
    </w:lvl>
    <w:lvl w:ilvl="3" w:tplc="340A000F" w:tentative="1">
      <w:start w:val="1"/>
      <w:numFmt w:val="decimal"/>
      <w:lvlText w:val="%4."/>
      <w:lvlJc w:val="left"/>
      <w:pPr>
        <w:tabs>
          <w:tab w:val="num" w:pos="2880"/>
        </w:tabs>
        <w:ind w:left="2880" w:hanging="360"/>
      </w:pPr>
    </w:lvl>
    <w:lvl w:ilvl="4" w:tplc="340A0019" w:tentative="1">
      <w:start w:val="1"/>
      <w:numFmt w:val="lowerLetter"/>
      <w:lvlText w:val="%5."/>
      <w:lvlJc w:val="left"/>
      <w:pPr>
        <w:tabs>
          <w:tab w:val="num" w:pos="3600"/>
        </w:tabs>
        <w:ind w:left="3600" w:hanging="360"/>
      </w:pPr>
    </w:lvl>
    <w:lvl w:ilvl="5" w:tplc="340A001B" w:tentative="1">
      <w:start w:val="1"/>
      <w:numFmt w:val="lowerRoman"/>
      <w:lvlText w:val="%6."/>
      <w:lvlJc w:val="right"/>
      <w:pPr>
        <w:tabs>
          <w:tab w:val="num" w:pos="4320"/>
        </w:tabs>
        <w:ind w:left="4320" w:hanging="180"/>
      </w:pPr>
    </w:lvl>
    <w:lvl w:ilvl="6" w:tplc="340A000F" w:tentative="1">
      <w:start w:val="1"/>
      <w:numFmt w:val="decimal"/>
      <w:lvlText w:val="%7."/>
      <w:lvlJc w:val="left"/>
      <w:pPr>
        <w:tabs>
          <w:tab w:val="num" w:pos="5040"/>
        </w:tabs>
        <w:ind w:left="5040" w:hanging="360"/>
      </w:pPr>
    </w:lvl>
    <w:lvl w:ilvl="7" w:tplc="340A0019" w:tentative="1">
      <w:start w:val="1"/>
      <w:numFmt w:val="lowerLetter"/>
      <w:lvlText w:val="%8."/>
      <w:lvlJc w:val="left"/>
      <w:pPr>
        <w:tabs>
          <w:tab w:val="num" w:pos="5760"/>
        </w:tabs>
        <w:ind w:left="5760" w:hanging="360"/>
      </w:pPr>
    </w:lvl>
    <w:lvl w:ilvl="8" w:tplc="340A001B" w:tentative="1">
      <w:start w:val="1"/>
      <w:numFmt w:val="lowerRoman"/>
      <w:lvlText w:val="%9."/>
      <w:lvlJc w:val="right"/>
      <w:pPr>
        <w:tabs>
          <w:tab w:val="num" w:pos="6480"/>
        </w:tabs>
        <w:ind w:left="6480" w:hanging="180"/>
      </w:pPr>
    </w:lvl>
  </w:abstractNum>
  <w:abstractNum w:abstractNumId="34">
    <w:nsid w:val="7FB92362"/>
    <w:multiLevelType w:val="multilevel"/>
    <w:tmpl w:val="2DCA1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2"/>
  </w:num>
  <w:num w:numId="3">
    <w:abstractNumId w:val="5"/>
  </w:num>
  <w:num w:numId="4">
    <w:abstractNumId w:val="10"/>
  </w:num>
  <w:num w:numId="5">
    <w:abstractNumId w:val="4"/>
  </w:num>
  <w:num w:numId="6">
    <w:abstractNumId w:val="34"/>
  </w:num>
  <w:num w:numId="7">
    <w:abstractNumId w:val="8"/>
  </w:num>
  <w:num w:numId="8">
    <w:abstractNumId w:val="27"/>
  </w:num>
  <w:num w:numId="9">
    <w:abstractNumId w:val="24"/>
  </w:num>
  <w:num w:numId="10">
    <w:abstractNumId w:val="17"/>
  </w:num>
  <w:num w:numId="11">
    <w:abstractNumId w:val="29"/>
  </w:num>
  <w:num w:numId="12">
    <w:abstractNumId w:val="1"/>
  </w:num>
  <w:num w:numId="13">
    <w:abstractNumId w:val="23"/>
  </w:num>
  <w:num w:numId="14">
    <w:abstractNumId w:val="30"/>
  </w:num>
  <w:num w:numId="15">
    <w:abstractNumId w:val="32"/>
  </w:num>
  <w:num w:numId="16">
    <w:abstractNumId w:val="19"/>
  </w:num>
  <w:num w:numId="17">
    <w:abstractNumId w:val="11"/>
  </w:num>
  <w:num w:numId="18">
    <w:abstractNumId w:val="33"/>
  </w:num>
  <w:num w:numId="19">
    <w:abstractNumId w:val="13"/>
  </w:num>
  <w:num w:numId="20">
    <w:abstractNumId w:val="26"/>
  </w:num>
  <w:num w:numId="21">
    <w:abstractNumId w:val="20"/>
  </w:num>
  <w:num w:numId="22">
    <w:abstractNumId w:val="18"/>
  </w:num>
  <w:num w:numId="23">
    <w:abstractNumId w:val="28"/>
  </w:num>
  <w:num w:numId="24">
    <w:abstractNumId w:val="31"/>
  </w:num>
  <w:num w:numId="25">
    <w:abstractNumId w:val="7"/>
  </w:num>
  <w:num w:numId="26">
    <w:abstractNumId w:val="6"/>
  </w:num>
  <w:num w:numId="27">
    <w:abstractNumId w:val="9"/>
  </w:num>
  <w:num w:numId="28">
    <w:abstractNumId w:val="0"/>
  </w:num>
  <w:num w:numId="29">
    <w:abstractNumId w:val="12"/>
    <w:lvlOverride w:ilvl="0"/>
    <w:lvlOverride w:ilvl="1"/>
    <w:lvlOverride w:ilvl="2"/>
    <w:lvlOverride w:ilvl="3"/>
    <w:lvlOverride w:ilvl="4"/>
    <w:lvlOverride w:ilvl="5"/>
    <w:lvlOverride w:ilvl="6"/>
    <w:lvlOverride w:ilvl="7"/>
    <w:lvlOverride w:ilvl="8"/>
  </w:num>
  <w:num w:numId="30">
    <w:abstractNumId w:val="14"/>
    <w:lvlOverride w:ilvl="0"/>
    <w:lvlOverride w:ilvl="1"/>
    <w:lvlOverride w:ilvl="2"/>
    <w:lvlOverride w:ilvl="3"/>
    <w:lvlOverride w:ilvl="4"/>
    <w:lvlOverride w:ilvl="5"/>
    <w:lvlOverride w:ilvl="6"/>
    <w:lvlOverride w:ilvl="7"/>
    <w:lvlOverride w:ilvl="8"/>
  </w:num>
  <w:num w:numId="31">
    <w:abstractNumId w:val="12"/>
  </w:num>
  <w:num w:numId="32">
    <w:abstractNumId w:val="16"/>
  </w:num>
  <w:num w:numId="33">
    <w:abstractNumId w:val="21"/>
  </w:num>
  <w:num w:numId="34">
    <w:abstractNumId w:val="15"/>
  </w:num>
  <w:num w:numId="35">
    <w:abstractNumId w:val="25"/>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stylePaneFormatFilter w:val="3F01"/>
  <w:stylePaneSortMethod w:val="0000"/>
  <w:defaultTabStop w:val="708"/>
  <w:hyphenationZone w:val="425"/>
  <w:drawingGridHorizontalSpacing w:val="120"/>
  <w:drawingGridVerticalSpacing w:val="360"/>
  <w:displayHorizontalDrawingGridEvery w:val="0"/>
  <w:displayVerticalDrawingGridEvery w:val="0"/>
  <w:characterSpacingControl w:val="doNotCompress"/>
  <w:hdrShapeDefaults>
    <o:shapedefaults v:ext="edit" spidmax="3074"/>
  </w:hdrShapeDefaults>
  <w:footnotePr>
    <w:footnote w:id="-1"/>
    <w:footnote w:id="0"/>
  </w:footnotePr>
  <w:endnotePr>
    <w:endnote w:id="-1"/>
    <w:endnote w:id="0"/>
  </w:endnotePr>
  <w:compat/>
  <w:rsids>
    <w:rsidRoot w:val="00A23EF3"/>
    <w:rsid w:val="00007C0A"/>
    <w:rsid w:val="00012D93"/>
    <w:rsid w:val="000457F3"/>
    <w:rsid w:val="00060F04"/>
    <w:rsid w:val="000A7501"/>
    <w:rsid w:val="000C0A18"/>
    <w:rsid w:val="000D2B94"/>
    <w:rsid w:val="000E4DD5"/>
    <w:rsid w:val="000F23DE"/>
    <w:rsid w:val="000F4402"/>
    <w:rsid w:val="001162DA"/>
    <w:rsid w:val="00120961"/>
    <w:rsid w:val="00131BB9"/>
    <w:rsid w:val="00144D71"/>
    <w:rsid w:val="00173C5A"/>
    <w:rsid w:val="00175430"/>
    <w:rsid w:val="001834AB"/>
    <w:rsid w:val="00194FDC"/>
    <w:rsid w:val="00195668"/>
    <w:rsid w:val="001A18C0"/>
    <w:rsid w:val="001A35C6"/>
    <w:rsid w:val="001B412C"/>
    <w:rsid w:val="001C2A44"/>
    <w:rsid w:val="001C72E5"/>
    <w:rsid w:val="001D3369"/>
    <w:rsid w:val="001F4E5A"/>
    <w:rsid w:val="00216D07"/>
    <w:rsid w:val="002240E6"/>
    <w:rsid w:val="00230235"/>
    <w:rsid w:val="00234230"/>
    <w:rsid w:val="00247F6F"/>
    <w:rsid w:val="00274EA1"/>
    <w:rsid w:val="002821BD"/>
    <w:rsid w:val="002A5300"/>
    <w:rsid w:val="002A6588"/>
    <w:rsid w:val="002B3AB0"/>
    <w:rsid w:val="002B44B1"/>
    <w:rsid w:val="002B5973"/>
    <w:rsid w:val="002C7D59"/>
    <w:rsid w:val="002E19AB"/>
    <w:rsid w:val="002E2FF4"/>
    <w:rsid w:val="002F530F"/>
    <w:rsid w:val="003413E8"/>
    <w:rsid w:val="00341EF7"/>
    <w:rsid w:val="0034228A"/>
    <w:rsid w:val="00345B04"/>
    <w:rsid w:val="00360C13"/>
    <w:rsid w:val="0037410B"/>
    <w:rsid w:val="00374F1E"/>
    <w:rsid w:val="00397467"/>
    <w:rsid w:val="00397ACF"/>
    <w:rsid w:val="003A390A"/>
    <w:rsid w:val="003A5AE0"/>
    <w:rsid w:val="003B3365"/>
    <w:rsid w:val="003C3810"/>
    <w:rsid w:val="00403838"/>
    <w:rsid w:val="004050E4"/>
    <w:rsid w:val="00432E4D"/>
    <w:rsid w:val="00434361"/>
    <w:rsid w:val="00440DED"/>
    <w:rsid w:val="00482B57"/>
    <w:rsid w:val="00483100"/>
    <w:rsid w:val="004A77E3"/>
    <w:rsid w:val="004A7E1E"/>
    <w:rsid w:val="004B262C"/>
    <w:rsid w:val="004D740D"/>
    <w:rsid w:val="00504C11"/>
    <w:rsid w:val="00506E62"/>
    <w:rsid w:val="00506EED"/>
    <w:rsid w:val="0052422F"/>
    <w:rsid w:val="00526225"/>
    <w:rsid w:val="00532DF1"/>
    <w:rsid w:val="0054211D"/>
    <w:rsid w:val="0054788B"/>
    <w:rsid w:val="00580B67"/>
    <w:rsid w:val="005B6955"/>
    <w:rsid w:val="005D7280"/>
    <w:rsid w:val="005E11C0"/>
    <w:rsid w:val="005E5EBA"/>
    <w:rsid w:val="00604799"/>
    <w:rsid w:val="00610CB0"/>
    <w:rsid w:val="00620683"/>
    <w:rsid w:val="006513D1"/>
    <w:rsid w:val="006844C7"/>
    <w:rsid w:val="00685E9D"/>
    <w:rsid w:val="0069298C"/>
    <w:rsid w:val="006B3E78"/>
    <w:rsid w:val="006B796A"/>
    <w:rsid w:val="006D0BEA"/>
    <w:rsid w:val="006D4E42"/>
    <w:rsid w:val="00705C21"/>
    <w:rsid w:val="00715E64"/>
    <w:rsid w:val="00722AA1"/>
    <w:rsid w:val="0072638F"/>
    <w:rsid w:val="007333B5"/>
    <w:rsid w:val="00736F5B"/>
    <w:rsid w:val="00765F1F"/>
    <w:rsid w:val="00770FEF"/>
    <w:rsid w:val="00787B2F"/>
    <w:rsid w:val="007A3CA4"/>
    <w:rsid w:val="007B23C3"/>
    <w:rsid w:val="00830CE4"/>
    <w:rsid w:val="00835249"/>
    <w:rsid w:val="00835C66"/>
    <w:rsid w:val="00847D53"/>
    <w:rsid w:val="00884C85"/>
    <w:rsid w:val="008A3F08"/>
    <w:rsid w:val="008E79CB"/>
    <w:rsid w:val="008E7A56"/>
    <w:rsid w:val="0090424E"/>
    <w:rsid w:val="00910710"/>
    <w:rsid w:val="00937E47"/>
    <w:rsid w:val="009433DA"/>
    <w:rsid w:val="00946078"/>
    <w:rsid w:val="00960096"/>
    <w:rsid w:val="00963E08"/>
    <w:rsid w:val="00974992"/>
    <w:rsid w:val="00996D30"/>
    <w:rsid w:val="009A24C6"/>
    <w:rsid w:val="009A6FD6"/>
    <w:rsid w:val="009C7C67"/>
    <w:rsid w:val="009F2D6B"/>
    <w:rsid w:val="009F38CF"/>
    <w:rsid w:val="009F42CE"/>
    <w:rsid w:val="009F795A"/>
    <w:rsid w:val="00A14369"/>
    <w:rsid w:val="00A37F1A"/>
    <w:rsid w:val="00A4235B"/>
    <w:rsid w:val="00A52928"/>
    <w:rsid w:val="00A546EE"/>
    <w:rsid w:val="00A73A9A"/>
    <w:rsid w:val="00A90D1C"/>
    <w:rsid w:val="00AA3A19"/>
    <w:rsid w:val="00AA4790"/>
    <w:rsid w:val="00AC6879"/>
    <w:rsid w:val="00AD006C"/>
    <w:rsid w:val="00AD442B"/>
    <w:rsid w:val="00AE4B16"/>
    <w:rsid w:val="00B11CD1"/>
    <w:rsid w:val="00B26507"/>
    <w:rsid w:val="00B308C2"/>
    <w:rsid w:val="00B50F64"/>
    <w:rsid w:val="00B52BD2"/>
    <w:rsid w:val="00B57145"/>
    <w:rsid w:val="00B640B5"/>
    <w:rsid w:val="00B67871"/>
    <w:rsid w:val="00B81F84"/>
    <w:rsid w:val="00B95781"/>
    <w:rsid w:val="00BA3566"/>
    <w:rsid w:val="00BB6C0A"/>
    <w:rsid w:val="00BC614B"/>
    <w:rsid w:val="00BC79B1"/>
    <w:rsid w:val="00BD77DF"/>
    <w:rsid w:val="00BF085F"/>
    <w:rsid w:val="00BF4FB0"/>
    <w:rsid w:val="00C04D3D"/>
    <w:rsid w:val="00C109C2"/>
    <w:rsid w:val="00C1482B"/>
    <w:rsid w:val="00C2557A"/>
    <w:rsid w:val="00C3361E"/>
    <w:rsid w:val="00C33E4D"/>
    <w:rsid w:val="00C5586D"/>
    <w:rsid w:val="00C562C2"/>
    <w:rsid w:val="00C640C0"/>
    <w:rsid w:val="00C766A5"/>
    <w:rsid w:val="00C83FEA"/>
    <w:rsid w:val="00CA0830"/>
    <w:rsid w:val="00CB0C33"/>
    <w:rsid w:val="00CD1B31"/>
    <w:rsid w:val="00CE4124"/>
    <w:rsid w:val="00CE6EF0"/>
    <w:rsid w:val="00CE7785"/>
    <w:rsid w:val="00CF010D"/>
    <w:rsid w:val="00CF144A"/>
    <w:rsid w:val="00CF2D14"/>
    <w:rsid w:val="00CF7E24"/>
    <w:rsid w:val="00D06D0B"/>
    <w:rsid w:val="00D12EAD"/>
    <w:rsid w:val="00D245B2"/>
    <w:rsid w:val="00D37780"/>
    <w:rsid w:val="00D847BB"/>
    <w:rsid w:val="00D97329"/>
    <w:rsid w:val="00DA35B5"/>
    <w:rsid w:val="00DA4F53"/>
    <w:rsid w:val="00DB5F26"/>
    <w:rsid w:val="00DC26A1"/>
    <w:rsid w:val="00DF121B"/>
    <w:rsid w:val="00E32797"/>
    <w:rsid w:val="00E3590E"/>
    <w:rsid w:val="00E3666D"/>
    <w:rsid w:val="00E6198A"/>
    <w:rsid w:val="00E624D2"/>
    <w:rsid w:val="00E665F2"/>
    <w:rsid w:val="00E71F16"/>
    <w:rsid w:val="00E72F4C"/>
    <w:rsid w:val="00E90473"/>
    <w:rsid w:val="00E971DB"/>
    <w:rsid w:val="00EA0A17"/>
    <w:rsid w:val="00EA0B3B"/>
    <w:rsid w:val="00EA33DA"/>
    <w:rsid w:val="00EC4BDB"/>
    <w:rsid w:val="00ED4BCF"/>
    <w:rsid w:val="00EE2048"/>
    <w:rsid w:val="00F00B3B"/>
    <w:rsid w:val="00F06866"/>
    <w:rsid w:val="00F40179"/>
    <w:rsid w:val="00F71EB4"/>
    <w:rsid w:val="00F77A01"/>
    <w:rsid w:val="00F818CD"/>
    <w:rsid w:val="00F90E36"/>
    <w:rsid w:val="00FA34A9"/>
    <w:rsid w:val="00FB11F7"/>
    <w:rsid w:val="00FC2A29"/>
    <w:rsid w:val="00FC6382"/>
    <w:rsid w:val="00FC7D1F"/>
    <w:rsid w:val="00FE55D9"/>
    <w:rsid w:val="00FF5B2E"/>
  </w:rsids>
  <m:mathPr>
    <m:mathFont m:val="Cambria Math"/>
    <m:brkBin m:val="before"/>
    <m:brkBinSub m:val="--"/>
    <m:smallFrac m:val="off"/>
    <m:dispDef m:val="off"/>
    <m:lMargin m:val="0"/>
    <m:rMargin m:val="0"/>
    <m:wrapRight/>
    <m:intLim m:val="subSup"/>
    <m:naryLim m:val="subSup"/>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A23EF3"/>
    <w:rPr>
      <w:rFonts w:ascii="Times New Roman" w:eastAsia="Times New Roman" w:hAnsi="Times New Roman"/>
      <w:sz w:val="24"/>
      <w:szCs w:val="24"/>
      <w:lang w:val="es-CL"/>
    </w:rPr>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paragraph" w:styleId="Encabezado">
    <w:name w:val="header"/>
    <w:basedOn w:val="Normal"/>
    <w:link w:val="EncabezadoCar"/>
    <w:rsid w:val="00A23EF3"/>
    <w:pPr>
      <w:tabs>
        <w:tab w:val="center" w:pos="4252"/>
        <w:tab w:val="right" w:pos="8504"/>
      </w:tabs>
    </w:pPr>
  </w:style>
  <w:style w:type="character" w:customStyle="1" w:styleId="EncabezadoCar">
    <w:name w:val="Encabezado Car"/>
    <w:link w:val="Encabezado"/>
    <w:rsid w:val="00A23EF3"/>
    <w:rPr>
      <w:rFonts w:ascii="Times New Roman" w:eastAsia="Times New Roman" w:hAnsi="Times New Roman" w:cs="Times New Roman"/>
      <w:lang w:val="es-CL" w:eastAsia="es-ES"/>
    </w:rPr>
  </w:style>
  <w:style w:type="paragraph" w:styleId="Piedepgina">
    <w:name w:val="footer"/>
    <w:basedOn w:val="Normal"/>
    <w:link w:val="PiedepginaCar"/>
    <w:uiPriority w:val="99"/>
    <w:rsid w:val="00A23EF3"/>
    <w:pPr>
      <w:tabs>
        <w:tab w:val="center" w:pos="4252"/>
        <w:tab w:val="right" w:pos="8504"/>
      </w:tabs>
    </w:pPr>
  </w:style>
  <w:style w:type="character" w:customStyle="1" w:styleId="PiedepginaCar">
    <w:name w:val="Pie de página Car"/>
    <w:link w:val="Piedepgina"/>
    <w:uiPriority w:val="99"/>
    <w:rsid w:val="00A23EF3"/>
    <w:rPr>
      <w:rFonts w:ascii="Times New Roman" w:eastAsia="Times New Roman" w:hAnsi="Times New Roman" w:cs="Times New Roman"/>
      <w:lang w:val="es-CL" w:eastAsia="es-ES"/>
    </w:rPr>
  </w:style>
  <w:style w:type="character" w:styleId="Nmerodepgina">
    <w:name w:val="page number"/>
    <w:basedOn w:val="Fuentedeprrafopredeter"/>
    <w:rsid w:val="00A23EF3"/>
  </w:style>
  <w:style w:type="character" w:styleId="Refdecomentario">
    <w:name w:val="annotation reference"/>
    <w:uiPriority w:val="99"/>
    <w:semiHidden/>
    <w:rsid w:val="00334A17"/>
    <w:rPr>
      <w:sz w:val="16"/>
      <w:szCs w:val="16"/>
    </w:rPr>
  </w:style>
  <w:style w:type="paragraph" w:styleId="Textocomentario">
    <w:name w:val="annotation text"/>
    <w:basedOn w:val="Normal"/>
    <w:link w:val="TextocomentarioCar"/>
    <w:uiPriority w:val="99"/>
    <w:semiHidden/>
    <w:rsid w:val="00334A17"/>
    <w:rPr>
      <w:sz w:val="20"/>
      <w:szCs w:val="20"/>
    </w:rPr>
  </w:style>
  <w:style w:type="paragraph" w:styleId="Asuntodelcomentario">
    <w:name w:val="annotation subject"/>
    <w:basedOn w:val="Textocomentario"/>
    <w:next w:val="Textocomentario"/>
    <w:semiHidden/>
    <w:rsid w:val="00334A17"/>
    <w:rPr>
      <w:b/>
      <w:bCs/>
    </w:rPr>
  </w:style>
  <w:style w:type="paragraph" w:styleId="Textodeglobo">
    <w:name w:val="Balloon Text"/>
    <w:basedOn w:val="Normal"/>
    <w:semiHidden/>
    <w:rsid w:val="00334A17"/>
    <w:rPr>
      <w:rFonts w:ascii="Tahoma" w:hAnsi="Tahoma" w:cs="Tahoma"/>
      <w:sz w:val="16"/>
      <w:szCs w:val="16"/>
    </w:rPr>
  </w:style>
  <w:style w:type="paragraph" w:styleId="NormalWeb">
    <w:name w:val="Normal (Web)"/>
    <w:basedOn w:val="Normal"/>
    <w:rsid w:val="0086695F"/>
    <w:pPr>
      <w:spacing w:before="100" w:beforeAutospacing="1" w:after="100" w:afterAutospacing="1"/>
    </w:pPr>
    <w:rPr>
      <w:lang w:eastAsia="es-CL"/>
    </w:rPr>
  </w:style>
  <w:style w:type="character" w:styleId="Textoennegrita">
    <w:name w:val="Strong"/>
    <w:qFormat/>
    <w:rsid w:val="00215AF6"/>
    <w:rPr>
      <w:b/>
      <w:bCs/>
    </w:rPr>
  </w:style>
  <w:style w:type="table" w:styleId="Tablaconcuadrcula">
    <w:name w:val="Table Grid"/>
    <w:basedOn w:val="Tablanormal"/>
    <w:rsid w:val="006D37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8">
    <w:name w:val="CM8"/>
    <w:basedOn w:val="Normal"/>
    <w:next w:val="Normal"/>
    <w:rsid w:val="00A32CEE"/>
    <w:pPr>
      <w:widowControl w:val="0"/>
      <w:autoSpaceDE w:val="0"/>
      <w:autoSpaceDN w:val="0"/>
      <w:adjustRightInd w:val="0"/>
    </w:pPr>
    <w:rPr>
      <w:rFonts w:ascii="Arial" w:hAnsi="Arial"/>
      <w:lang w:val="es-ES"/>
    </w:rPr>
  </w:style>
  <w:style w:type="paragraph" w:styleId="Textonotapie">
    <w:name w:val="footnote text"/>
    <w:basedOn w:val="Normal"/>
    <w:link w:val="TextonotapieCar"/>
    <w:unhideWhenUsed/>
    <w:rsid w:val="003E4040"/>
  </w:style>
  <w:style w:type="character" w:customStyle="1" w:styleId="TextonotapieCar">
    <w:name w:val="Texto nota pie Car"/>
    <w:link w:val="Textonotapie"/>
    <w:uiPriority w:val="99"/>
    <w:semiHidden/>
    <w:rsid w:val="003E4040"/>
    <w:rPr>
      <w:rFonts w:ascii="Times New Roman" w:eastAsia="Times New Roman" w:hAnsi="Times New Roman"/>
      <w:sz w:val="24"/>
      <w:szCs w:val="24"/>
      <w:lang w:val="es-CL" w:eastAsia="es-ES"/>
    </w:rPr>
  </w:style>
  <w:style w:type="character" w:styleId="Refdenotaalpie">
    <w:name w:val="footnote reference"/>
    <w:unhideWhenUsed/>
    <w:rsid w:val="003E4040"/>
    <w:rPr>
      <w:vertAlign w:val="superscript"/>
    </w:rPr>
  </w:style>
  <w:style w:type="paragraph" w:customStyle="1" w:styleId="Char1">
    <w:name w:val=" Char1"/>
    <w:basedOn w:val="Normal"/>
    <w:rsid w:val="00C711A4"/>
    <w:pPr>
      <w:spacing w:after="160" w:line="240" w:lineRule="exact"/>
      <w:jc w:val="both"/>
    </w:pPr>
    <w:rPr>
      <w:rFonts w:ascii="Arial" w:hAnsi="Arial"/>
      <w:sz w:val="20"/>
      <w:szCs w:val="20"/>
      <w:lang w:val="en-US" w:eastAsia="en-US"/>
    </w:rPr>
  </w:style>
  <w:style w:type="paragraph" w:customStyle="1" w:styleId="Car">
    <w:name w:val=" Car"/>
    <w:basedOn w:val="Normal"/>
    <w:rsid w:val="00971729"/>
    <w:pPr>
      <w:spacing w:after="160" w:line="240" w:lineRule="exact"/>
    </w:pPr>
    <w:rPr>
      <w:rFonts w:ascii="Arial Negrita" w:hAnsi="Arial Negrita"/>
      <w:b/>
      <w:sz w:val="22"/>
      <w:szCs w:val="22"/>
      <w:lang w:val="en-US" w:eastAsia="en-US"/>
    </w:rPr>
  </w:style>
  <w:style w:type="character" w:styleId="Hipervnculo">
    <w:name w:val="Hyperlink"/>
    <w:uiPriority w:val="99"/>
    <w:semiHidden/>
    <w:unhideWhenUsed/>
    <w:rsid w:val="00A275E8"/>
    <w:rPr>
      <w:color w:val="0000FF"/>
      <w:u w:val="single"/>
    </w:rPr>
  </w:style>
  <w:style w:type="paragraph" w:styleId="Sangradetextonormal">
    <w:name w:val="Body Text Indent"/>
    <w:basedOn w:val="Normal"/>
    <w:link w:val="SangradetextonormalCar"/>
    <w:rsid w:val="0054211D"/>
    <w:pPr>
      <w:spacing w:after="120"/>
      <w:ind w:left="283"/>
    </w:pPr>
    <w:rPr>
      <w:lang w:val="es-ES"/>
    </w:rPr>
  </w:style>
  <w:style w:type="character" w:customStyle="1" w:styleId="SangradetextonormalCar">
    <w:name w:val="Sangría de texto normal Car"/>
    <w:link w:val="Sangradetextonormal"/>
    <w:rsid w:val="0054211D"/>
    <w:rPr>
      <w:rFonts w:ascii="Times New Roman" w:eastAsia="Times New Roman" w:hAnsi="Times New Roman"/>
      <w:sz w:val="24"/>
      <w:szCs w:val="24"/>
      <w:lang w:val="es-ES" w:eastAsia="es-ES"/>
    </w:rPr>
  </w:style>
  <w:style w:type="paragraph" w:styleId="Cuadrculamedia2-nfasis1">
    <w:name w:val="Medium Grid 2 Accent 1"/>
    <w:uiPriority w:val="1"/>
    <w:qFormat/>
    <w:rsid w:val="00AE4B16"/>
    <w:rPr>
      <w:rFonts w:ascii="Calibri" w:eastAsia="Calibri" w:hAnsi="Calibri"/>
      <w:sz w:val="22"/>
      <w:szCs w:val="22"/>
      <w:lang w:val="es-CL" w:eastAsia="en-US"/>
    </w:rPr>
  </w:style>
  <w:style w:type="character" w:customStyle="1" w:styleId="TextocomentarioCar">
    <w:name w:val="Texto comentario Car"/>
    <w:link w:val="Textocomentario"/>
    <w:uiPriority w:val="99"/>
    <w:semiHidden/>
    <w:rsid w:val="004D740D"/>
    <w:rPr>
      <w:rFonts w:ascii="Times New Roman" w:eastAsia="Times New Roman" w:hAnsi="Times New Roman"/>
      <w:lang w:eastAsia="es-ES"/>
    </w:rPr>
  </w:style>
  <w:style w:type="paragraph" w:styleId="Listavistosa-nfasis1">
    <w:name w:val="Colorful List Accent 1"/>
    <w:basedOn w:val="Normal"/>
    <w:uiPriority w:val="34"/>
    <w:qFormat/>
    <w:rsid w:val="004D740D"/>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75384945">
      <w:bodyDiv w:val="1"/>
      <w:marLeft w:val="0"/>
      <w:marRight w:val="0"/>
      <w:marTop w:val="0"/>
      <w:marBottom w:val="0"/>
      <w:divBdr>
        <w:top w:val="none" w:sz="0" w:space="0" w:color="auto"/>
        <w:left w:val="none" w:sz="0" w:space="0" w:color="auto"/>
        <w:bottom w:val="none" w:sz="0" w:space="0" w:color="auto"/>
        <w:right w:val="none" w:sz="0" w:space="0" w:color="auto"/>
      </w:divBdr>
      <w:divsChild>
        <w:div w:id="437911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0880616">
      <w:bodyDiv w:val="1"/>
      <w:marLeft w:val="0"/>
      <w:marRight w:val="0"/>
      <w:marTop w:val="0"/>
      <w:marBottom w:val="0"/>
      <w:divBdr>
        <w:top w:val="none" w:sz="0" w:space="0" w:color="auto"/>
        <w:left w:val="none" w:sz="0" w:space="0" w:color="auto"/>
        <w:bottom w:val="none" w:sz="0" w:space="0" w:color="auto"/>
        <w:right w:val="none" w:sz="0" w:space="0" w:color="auto"/>
      </w:divBdr>
    </w:div>
    <w:div w:id="525414220">
      <w:bodyDiv w:val="1"/>
      <w:marLeft w:val="0"/>
      <w:marRight w:val="0"/>
      <w:marTop w:val="0"/>
      <w:marBottom w:val="0"/>
      <w:divBdr>
        <w:top w:val="none" w:sz="0" w:space="0" w:color="auto"/>
        <w:left w:val="none" w:sz="0" w:space="0" w:color="auto"/>
        <w:bottom w:val="none" w:sz="0" w:space="0" w:color="auto"/>
        <w:right w:val="none" w:sz="0" w:space="0" w:color="auto"/>
      </w:divBdr>
      <w:divsChild>
        <w:div w:id="16150144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9641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468757">
                  <w:marLeft w:val="0"/>
                  <w:marRight w:val="0"/>
                  <w:marTop w:val="0"/>
                  <w:marBottom w:val="0"/>
                  <w:divBdr>
                    <w:top w:val="none" w:sz="0" w:space="0" w:color="auto"/>
                    <w:left w:val="none" w:sz="0" w:space="0" w:color="auto"/>
                    <w:bottom w:val="none" w:sz="0" w:space="0" w:color="auto"/>
                    <w:right w:val="none" w:sz="0" w:space="0" w:color="auto"/>
                  </w:divBdr>
                </w:div>
                <w:div w:id="215091986">
                  <w:marLeft w:val="0"/>
                  <w:marRight w:val="0"/>
                  <w:marTop w:val="0"/>
                  <w:marBottom w:val="0"/>
                  <w:divBdr>
                    <w:top w:val="none" w:sz="0" w:space="0" w:color="auto"/>
                    <w:left w:val="none" w:sz="0" w:space="0" w:color="auto"/>
                    <w:bottom w:val="none" w:sz="0" w:space="0" w:color="auto"/>
                    <w:right w:val="none" w:sz="0" w:space="0" w:color="auto"/>
                  </w:divBdr>
                </w:div>
                <w:div w:id="278799689">
                  <w:marLeft w:val="0"/>
                  <w:marRight w:val="0"/>
                  <w:marTop w:val="0"/>
                  <w:marBottom w:val="0"/>
                  <w:divBdr>
                    <w:top w:val="none" w:sz="0" w:space="0" w:color="auto"/>
                    <w:left w:val="none" w:sz="0" w:space="0" w:color="auto"/>
                    <w:bottom w:val="none" w:sz="0" w:space="0" w:color="auto"/>
                    <w:right w:val="none" w:sz="0" w:space="0" w:color="auto"/>
                  </w:divBdr>
                </w:div>
                <w:div w:id="799691612">
                  <w:marLeft w:val="0"/>
                  <w:marRight w:val="0"/>
                  <w:marTop w:val="0"/>
                  <w:marBottom w:val="0"/>
                  <w:divBdr>
                    <w:top w:val="none" w:sz="0" w:space="0" w:color="auto"/>
                    <w:left w:val="none" w:sz="0" w:space="0" w:color="auto"/>
                    <w:bottom w:val="none" w:sz="0" w:space="0" w:color="auto"/>
                    <w:right w:val="none" w:sz="0" w:space="0" w:color="auto"/>
                  </w:divBdr>
                </w:div>
                <w:div w:id="848298288">
                  <w:marLeft w:val="0"/>
                  <w:marRight w:val="0"/>
                  <w:marTop w:val="0"/>
                  <w:marBottom w:val="0"/>
                  <w:divBdr>
                    <w:top w:val="none" w:sz="0" w:space="0" w:color="auto"/>
                    <w:left w:val="none" w:sz="0" w:space="0" w:color="auto"/>
                    <w:bottom w:val="none" w:sz="0" w:space="0" w:color="auto"/>
                    <w:right w:val="none" w:sz="0" w:space="0" w:color="auto"/>
                  </w:divBdr>
                </w:div>
                <w:div w:id="1094978440">
                  <w:marLeft w:val="0"/>
                  <w:marRight w:val="0"/>
                  <w:marTop w:val="0"/>
                  <w:marBottom w:val="0"/>
                  <w:divBdr>
                    <w:top w:val="none" w:sz="0" w:space="0" w:color="auto"/>
                    <w:left w:val="none" w:sz="0" w:space="0" w:color="auto"/>
                    <w:bottom w:val="none" w:sz="0" w:space="0" w:color="auto"/>
                    <w:right w:val="none" w:sz="0" w:space="0" w:color="auto"/>
                  </w:divBdr>
                </w:div>
                <w:div w:id="1163004961">
                  <w:marLeft w:val="360"/>
                  <w:marRight w:val="0"/>
                  <w:marTop w:val="0"/>
                  <w:marBottom w:val="120"/>
                  <w:divBdr>
                    <w:top w:val="none" w:sz="0" w:space="0" w:color="auto"/>
                    <w:left w:val="none" w:sz="0" w:space="0" w:color="auto"/>
                    <w:bottom w:val="none" w:sz="0" w:space="0" w:color="auto"/>
                    <w:right w:val="none" w:sz="0" w:space="0" w:color="auto"/>
                  </w:divBdr>
                </w:div>
                <w:div w:id="1608468286">
                  <w:marLeft w:val="0"/>
                  <w:marRight w:val="0"/>
                  <w:marTop w:val="0"/>
                  <w:marBottom w:val="0"/>
                  <w:divBdr>
                    <w:top w:val="none" w:sz="0" w:space="0" w:color="auto"/>
                    <w:left w:val="none" w:sz="0" w:space="0" w:color="auto"/>
                    <w:bottom w:val="none" w:sz="0" w:space="0" w:color="auto"/>
                    <w:right w:val="none" w:sz="0" w:space="0" w:color="auto"/>
                  </w:divBdr>
                </w:div>
                <w:div w:id="1722826279">
                  <w:marLeft w:val="0"/>
                  <w:marRight w:val="0"/>
                  <w:marTop w:val="0"/>
                  <w:marBottom w:val="0"/>
                  <w:divBdr>
                    <w:top w:val="none" w:sz="0" w:space="0" w:color="auto"/>
                    <w:left w:val="none" w:sz="0" w:space="0" w:color="auto"/>
                    <w:bottom w:val="none" w:sz="0" w:space="0" w:color="auto"/>
                    <w:right w:val="none" w:sz="0" w:space="0" w:color="auto"/>
                  </w:divBdr>
                </w:div>
                <w:div w:id="1895237069">
                  <w:marLeft w:val="0"/>
                  <w:marRight w:val="0"/>
                  <w:marTop w:val="0"/>
                  <w:marBottom w:val="0"/>
                  <w:divBdr>
                    <w:top w:val="none" w:sz="0" w:space="0" w:color="auto"/>
                    <w:left w:val="none" w:sz="0" w:space="0" w:color="auto"/>
                    <w:bottom w:val="none" w:sz="0" w:space="0" w:color="auto"/>
                    <w:right w:val="none" w:sz="0" w:space="0" w:color="auto"/>
                  </w:divBdr>
                </w:div>
                <w:div w:id="1904757411">
                  <w:marLeft w:val="0"/>
                  <w:marRight w:val="0"/>
                  <w:marTop w:val="0"/>
                  <w:marBottom w:val="0"/>
                  <w:divBdr>
                    <w:top w:val="none" w:sz="0" w:space="0" w:color="auto"/>
                    <w:left w:val="none" w:sz="0" w:space="0" w:color="auto"/>
                    <w:bottom w:val="none" w:sz="0" w:space="0" w:color="auto"/>
                    <w:right w:val="none" w:sz="0" w:space="0" w:color="auto"/>
                  </w:divBdr>
                </w:div>
                <w:div w:id="1927422808">
                  <w:marLeft w:val="0"/>
                  <w:marRight w:val="0"/>
                  <w:marTop w:val="0"/>
                  <w:marBottom w:val="0"/>
                  <w:divBdr>
                    <w:top w:val="none" w:sz="0" w:space="0" w:color="auto"/>
                    <w:left w:val="none" w:sz="0" w:space="0" w:color="auto"/>
                    <w:bottom w:val="none" w:sz="0" w:space="0" w:color="auto"/>
                    <w:right w:val="none" w:sz="0" w:space="0" w:color="auto"/>
                  </w:divBdr>
                </w:div>
                <w:div w:id="19294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927233">
      <w:bodyDiv w:val="1"/>
      <w:marLeft w:val="0"/>
      <w:marRight w:val="0"/>
      <w:marTop w:val="0"/>
      <w:marBottom w:val="0"/>
      <w:divBdr>
        <w:top w:val="none" w:sz="0" w:space="0" w:color="auto"/>
        <w:left w:val="none" w:sz="0" w:space="0" w:color="auto"/>
        <w:bottom w:val="none" w:sz="0" w:space="0" w:color="auto"/>
        <w:right w:val="none" w:sz="0" w:space="0" w:color="auto"/>
      </w:divBdr>
      <w:divsChild>
        <w:div w:id="662053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39784">
      <w:bodyDiv w:val="1"/>
      <w:marLeft w:val="0"/>
      <w:marRight w:val="0"/>
      <w:marTop w:val="0"/>
      <w:marBottom w:val="0"/>
      <w:divBdr>
        <w:top w:val="none" w:sz="0" w:space="0" w:color="auto"/>
        <w:left w:val="none" w:sz="0" w:space="0" w:color="auto"/>
        <w:bottom w:val="none" w:sz="0" w:space="0" w:color="auto"/>
        <w:right w:val="none" w:sz="0" w:space="0" w:color="auto"/>
      </w:divBdr>
      <w:divsChild>
        <w:div w:id="759060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981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06165">
                  <w:marLeft w:val="0"/>
                  <w:marRight w:val="0"/>
                  <w:marTop w:val="0"/>
                  <w:marBottom w:val="0"/>
                  <w:divBdr>
                    <w:top w:val="none" w:sz="0" w:space="0" w:color="auto"/>
                    <w:left w:val="none" w:sz="0" w:space="0" w:color="auto"/>
                    <w:bottom w:val="none" w:sz="0" w:space="0" w:color="auto"/>
                    <w:right w:val="none" w:sz="0" w:space="0" w:color="auto"/>
                  </w:divBdr>
                </w:div>
                <w:div w:id="482161805">
                  <w:marLeft w:val="0"/>
                  <w:marRight w:val="0"/>
                  <w:marTop w:val="0"/>
                  <w:marBottom w:val="0"/>
                  <w:divBdr>
                    <w:top w:val="none" w:sz="0" w:space="0" w:color="auto"/>
                    <w:left w:val="none" w:sz="0" w:space="0" w:color="auto"/>
                    <w:bottom w:val="none" w:sz="0" w:space="0" w:color="auto"/>
                    <w:right w:val="none" w:sz="0" w:space="0" w:color="auto"/>
                  </w:divBdr>
                </w:div>
                <w:div w:id="549268367">
                  <w:marLeft w:val="0"/>
                  <w:marRight w:val="0"/>
                  <w:marTop w:val="0"/>
                  <w:marBottom w:val="0"/>
                  <w:divBdr>
                    <w:top w:val="none" w:sz="0" w:space="0" w:color="auto"/>
                    <w:left w:val="none" w:sz="0" w:space="0" w:color="auto"/>
                    <w:bottom w:val="none" w:sz="0" w:space="0" w:color="auto"/>
                    <w:right w:val="none" w:sz="0" w:space="0" w:color="auto"/>
                  </w:divBdr>
                </w:div>
                <w:div w:id="672102100">
                  <w:marLeft w:val="0"/>
                  <w:marRight w:val="0"/>
                  <w:marTop w:val="0"/>
                  <w:marBottom w:val="0"/>
                  <w:divBdr>
                    <w:top w:val="none" w:sz="0" w:space="0" w:color="auto"/>
                    <w:left w:val="none" w:sz="0" w:space="0" w:color="auto"/>
                    <w:bottom w:val="none" w:sz="0" w:space="0" w:color="auto"/>
                    <w:right w:val="none" w:sz="0" w:space="0" w:color="auto"/>
                  </w:divBdr>
                </w:div>
                <w:div w:id="148100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77412">
      <w:bodyDiv w:val="1"/>
      <w:marLeft w:val="0"/>
      <w:marRight w:val="0"/>
      <w:marTop w:val="0"/>
      <w:marBottom w:val="0"/>
      <w:divBdr>
        <w:top w:val="none" w:sz="0" w:space="0" w:color="auto"/>
        <w:left w:val="none" w:sz="0" w:space="0" w:color="auto"/>
        <w:bottom w:val="none" w:sz="0" w:space="0" w:color="auto"/>
        <w:right w:val="none" w:sz="0" w:space="0" w:color="auto"/>
      </w:divBdr>
      <w:divsChild>
        <w:div w:id="1748192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72913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491137">
                  <w:marLeft w:val="0"/>
                  <w:marRight w:val="0"/>
                  <w:marTop w:val="0"/>
                  <w:marBottom w:val="0"/>
                  <w:divBdr>
                    <w:top w:val="none" w:sz="0" w:space="0" w:color="auto"/>
                    <w:left w:val="none" w:sz="0" w:space="0" w:color="auto"/>
                    <w:bottom w:val="none" w:sz="0" w:space="0" w:color="auto"/>
                    <w:right w:val="none" w:sz="0" w:space="0" w:color="auto"/>
                  </w:divBdr>
                </w:div>
                <w:div w:id="1127047999">
                  <w:marLeft w:val="0"/>
                  <w:marRight w:val="0"/>
                  <w:marTop w:val="0"/>
                  <w:marBottom w:val="0"/>
                  <w:divBdr>
                    <w:top w:val="none" w:sz="0" w:space="0" w:color="auto"/>
                    <w:left w:val="none" w:sz="0" w:space="0" w:color="auto"/>
                    <w:bottom w:val="none" w:sz="0" w:space="0" w:color="auto"/>
                    <w:right w:val="none" w:sz="0" w:space="0" w:color="auto"/>
                  </w:divBdr>
                </w:div>
                <w:div w:id="211717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607940">
      <w:bodyDiv w:val="1"/>
      <w:marLeft w:val="0"/>
      <w:marRight w:val="0"/>
      <w:marTop w:val="0"/>
      <w:marBottom w:val="0"/>
      <w:divBdr>
        <w:top w:val="none" w:sz="0" w:space="0" w:color="auto"/>
        <w:left w:val="none" w:sz="0" w:space="0" w:color="auto"/>
        <w:bottom w:val="none" w:sz="0" w:space="0" w:color="auto"/>
        <w:right w:val="none" w:sz="0" w:space="0" w:color="auto"/>
      </w:divBdr>
      <w:divsChild>
        <w:div w:id="1181822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8909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6541339">
                  <w:marLeft w:val="0"/>
                  <w:marRight w:val="0"/>
                  <w:marTop w:val="0"/>
                  <w:marBottom w:val="0"/>
                  <w:divBdr>
                    <w:top w:val="none" w:sz="0" w:space="0" w:color="auto"/>
                    <w:left w:val="none" w:sz="0" w:space="0" w:color="auto"/>
                    <w:bottom w:val="none" w:sz="0" w:space="0" w:color="auto"/>
                    <w:right w:val="none" w:sz="0" w:space="0" w:color="auto"/>
                  </w:divBdr>
                  <w:divsChild>
                    <w:div w:id="7871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322122">
      <w:bodyDiv w:val="1"/>
      <w:marLeft w:val="0"/>
      <w:marRight w:val="0"/>
      <w:marTop w:val="0"/>
      <w:marBottom w:val="0"/>
      <w:divBdr>
        <w:top w:val="none" w:sz="0" w:space="0" w:color="auto"/>
        <w:left w:val="none" w:sz="0" w:space="0" w:color="auto"/>
        <w:bottom w:val="none" w:sz="0" w:space="0" w:color="auto"/>
        <w:right w:val="none" w:sz="0" w:space="0" w:color="auto"/>
      </w:divBdr>
      <w:divsChild>
        <w:div w:id="79110204">
          <w:marLeft w:val="0"/>
          <w:marRight w:val="0"/>
          <w:marTop w:val="0"/>
          <w:marBottom w:val="0"/>
          <w:divBdr>
            <w:top w:val="none" w:sz="0" w:space="0" w:color="auto"/>
            <w:left w:val="none" w:sz="0" w:space="0" w:color="auto"/>
            <w:bottom w:val="none" w:sz="0" w:space="0" w:color="auto"/>
            <w:right w:val="none" w:sz="0" w:space="0" w:color="auto"/>
          </w:divBdr>
        </w:div>
        <w:div w:id="398480435">
          <w:marLeft w:val="0"/>
          <w:marRight w:val="0"/>
          <w:marTop w:val="0"/>
          <w:marBottom w:val="0"/>
          <w:divBdr>
            <w:top w:val="none" w:sz="0" w:space="0" w:color="auto"/>
            <w:left w:val="none" w:sz="0" w:space="0" w:color="auto"/>
            <w:bottom w:val="none" w:sz="0" w:space="0" w:color="auto"/>
            <w:right w:val="none" w:sz="0" w:space="0" w:color="auto"/>
          </w:divBdr>
        </w:div>
        <w:div w:id="620379095">
          <w:marLeft w:val="0"/>
          <w:marRight w:val="0"/>
          <w:marTop w:val="0"/>
          <w:marBottom w:val="0"/>
          <w:divBdr>
            <w:top w:val="none" w:sz="0" w:space="0" w:color="auto"/>
            <w:left w:val="none" w:sz="0" w:space="0" w:color="auto"/>
            <w:bottom w:val="none" w:sz="0" w:space="0" w:color="auto"/>
            <w:right w:val="none" w:sz="0" w:space="0" w:color="auto"/>
          </w:divBdr>
        </w:div>
        <w:div w:id="654798762">
          <w:marLeft w:val="0"/>
          <w:marRight w:val="0"/>
          <w:marTop w:val="0"/>
          <w:marBottom w:val="0"/>
          <w:divBdr>
            <w:top w:val="none" w:sz="0" w:space="0" w:color="auto"/>
            <w:left w:val="none" w:sz="0" w:space="0" w:color="auto"/>
            <w:bottom w:val="none" w:sz="0" w:space="0" w:color="auto"/>
            <w:right w:val="none" w:sz="0" w:space="0" w:color="auto"/>
          </w:divBdr>
        </w:div>
        <w:div w:id="830098650">
          <w:marLeft w:val="0"/>
          <w:marRight w:val="0"/>
          <w:marTop w:val="0"/>
          <w:marBottom w:val="0"/>
          <w:divBdr>
            <w:top w:val="none" w:sz="0" w:space="0" w:color="auto"/>
            <w:left w:val="none" w:sz="0" w:space="0" w:color="auto"/>
            <w:bottom w:val="none" w:sz="0" w:space="0" w:color="auto"/>
            <w:right w:val="none" w:sz="0" w:space="0" w:color="auto"/>
          </w:divBdr>
        </w:div>
        <w:div w:id="1154028185">
          <w:marLeft w:val="0"/>
          <w:marRight w:val="0"/>
          <w:marTop w:val="0"/>
          <w:marBottom w:val="0"/>
          <w:divBdr>
            <w:top w:val="none" w:sz="0" w:space="0" w:color="auto"/>
            <w:left w:val="none" w:sz="0" w:space="0" w:color="auto"/>
            <w:bottom w:val="none" w:sz="0" w:space="0" w:color="auto"/>
            <w:right w:val="none" w:sz="0" w:space="0" w:color="auto"/>
          </w:divBdr>
        </w:div>
        <w:div w:id="1172069257">
          <w:marLeft w:val="0"/>
          <w:marRight w:val="0"/>
          <w:marTop w:val="0"/>
          <w:marBottom w:val="0"/>
          <w:divBdr>
            <w:top w:val="none" w:sz="0" w:space="0" w:color="auto"/>
            <w:left w:val="none" w:sz="0" w:space="0" w:color="auto"/>
            <w:bottom w:val="none" w:sz="0" w:space="0" w:color="auto"/>
            <w:right w:val="none" w:sz="0" w:space="0" w:color="auto"/>
          </w:divBdr>
        </w:div>
        <w:div w:id="1234509065">
          <w:marLeft w:val="0"/>
          <w:marRight w:val="0"/>
          <w:marTop w:val="0"/>
          <w:marBottom w:val="0"/>
          <w:divBdr>
            <w:top w:val="none" w:sz="0" w:space="0" w:color="auto"/>
            <w:left w:val="none" w:sz="0" w:space="0" w:color="auto"/>
            <w:bottom w:val="none" w:sz="0" w:space="0" w:color="auto"/>
            <w:right w:val="none" w:sz="0" w:space="0" w:color="auto"/>
          </w:divBdr>
        </w:div>
        <w:div w:id="1350909527">
          <w:marLeft w:val="0"/>
          <w:marRight w:val="0"/>
          <w:marTop w:val="0"/>
          <w:marBottom w:val="0"/>
          <w:divBdr>
            <w:top w:val="none" w:sz="0" w:space="0" w:color="auto"/>
            <w:left w:val="none" w:sz="0" w:space="0" w:color="auto"/>
            <w:bottom w:val="none" w:sz="0" w:space="0" w:color="auto"/>
            <w:right w:val="none" w:sz="0" w:space="0" w:color="auto"/>
          </w:divBdr>
        </w:div>
        <w:div w:id="1671827966">
          <w:marLeft w:val="0"/>
          <w:marRight w:val="0"/>
          <w:marTop w:val="0"/>
          <w:marBottom w:val="0"/>
          <w:divBdr>
            <w:top w:val="none" w:sz="0" w:space="0" w:color="auto"/>
            <w:left w:val="none" w:sz="0" w:space="0" w:color="auto"/>
            <w:bottom w:val="none" w:sz="0" w:space="0" w:color="auto"/>
            <w:right w:val="none" w:sz="0" w:space="0" w:color="auto"/>
          </w:divBdr>
        </w:div>
        <w:div w:id="1750999964">
          <w:marLeft w:val="0"/>
          <w:marRight w:val="0"/>
          <w:marTop w:val="0"/>
          <w:marBottom w:val="0"/>
          <w:divBdr>
            <w:top w:val="none" w:sz="0" w:space="0" w:color="auto"/>
            <w:left w:val="none" w:sz="0" w:space="0" w:color="auto"/>
            <w:bottom w:val="none" w:sz="0" w:space="0" w:color="auto"/>
            <w:right w:val="none" w:sz="0" w:space="0" w:color="auto"/>
          </w:divBdr>
        </w:div>
        <w:div w:id="1940990558">
          <w:marLeft w:val="0"/>
          <w:marRight w:val="0"/>
          <w:marTop w:val="0"/>
          <w:marBottom w:val="0"/>
          <w:divBdr>
            <w:top w:val="none" w:sz="0" w:space="0" w:color="auto"/>
            <w:left w:val="none" w:sz="0" w:space="0" w:color="auto"/>
            <w:bottom w:val="none" w:sz="0" w:space="0" w:color="auto"/>
            <w:right w:val="none" w:sz="0" w:space="0" w:color="auto"/>
          </w:divBdr>
        </w:div>
        <w:div w:id="2119642972">
          <w:marLeft w:val="0"/>
          <w:marRight w:val="0"/>
          <w:marTop w:val="0"/>
          <w:marBottom w:val="0"/>
          <w:divBdr>
            <w:top w:val="none" w:sz="0" w:space="0" w:color="auto"/>
            <w:left w:val="none" w:sz="0" w:space="0" w:color="auto"/>
            <w:bottom w:val="none" w:sz="0" w:space="0" w:color="auto"/>
            <w:right w:val="none" w:sz="0" w:space="0" w:color="auto"/>
          </w:divBdr>
        </w:div>
      </w:divsChild>
    </w:div>
    <w:div w:id="1848515551">
      <w:bodyDiv w:val="1"/>
      <w:marLeft w:val="0"/>
      <w:marRight w:val="0"/>
      <w:marTop w:val="0"/>
      <w:marBottom w:val="0"/>
      <w:divBdr>
        <w:top w:val="none" w:sz="0" w:space="0" w:color="auto"/>
        <w:left w:val="none" w:sz="0" w:space="0" w:color="auto"/>
        <w:bottom w:val="none" w:sz="0" w:space="0" w:color="auto"/>
        <w:right w:val="none" w:sz="0" w:space="0" w:color="auto"/>
      </w:divBdr>
    </w:div>
    <w:div w:id="2014601834">
      <w:bodyDiv w:val="1"/>
      <w:marLeft w:val="0"/>
      <w:marRight w:val="0"/>
      <w:marTop w:val="0"/>
      <w:marBottom w:val="0"/>
      <w:divBdr>
        <w:top w:val="none" w:sz="0" w:space="0" w:color="auto"/>
        <w:left w:val="none" w:sz="0" w:space="0" w:color="auto"/>
        <w:bottom w:val="none" w:sz="0" w:space="0" w:color="auto"/>
        <w:right w:val="none" w:sz="0" w:space="0" w:color="auto"/>
      </w:divBdr>
      <w:divsChild>
        <w:div w:id="694039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pixelsPerInch w:val="72"/>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7886</Words>
  <Characters>43377</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REPOSICION PDC VENTANAS</vt:lpstr>
    </vt:vector>
  </TitlesOfParts>
  <Company>Hewlett-Packard</Company>
  <LinksUpToDate>false</LinksUpToDate>
  <CharactersWithSpaces>51161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REPOSICION PDC VENTANAS</dc:title>
  <dc:creator>RUIZ ARANEDA/GUZMAN ROSEN</dc:creator>
  <cp:lastModifiedBy>Rioseco Zorn María Susana (Codelco-Casa Matriz)</cp:lastModifiedBy>
  <cp:revision>2</cp:revision>
  <cp:lastPrinted>2016-07-20T15:07:00Z</cp:lastPrinted>
  <dcterms:created xsi:type="dcterms:W3CDTF">2016-07-20T15:11:00Z</dcterms:created>
  <dcterms:modified xsi:type="dcterms:W3CDTF">2016-07-20T15:11:00Z</dcterms:modified>
</cp:coreProperties>
</file>